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FE" w:rsidRPr="005D608A" w:rsidRDefault="007B7CFE" w:rsidP="007B7CFE">
      <w:pPr>
        <w:pStyle w:val="NormalWeb"/>
        <w:rPr>
          <w:rFonts w:ascii="Times New Roman" w:hAnsi="Times New Roman"/>
          <w:color w:val="auto"/>
          <w:sz w:val="24"/>
          <w:szCs w:val="24"/>
          <w:lang w:val="hr-HR"/>
        </w:rPr>
      </w:pPr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Strazbur, 27. novembar 2003. </w:t>
      </w:r>
    </w:p>
    <w:p w:rsidR="007B7CFE" w:rsidRPr="005D608A" w:rsidRDefault="007B7CFE" w:rsidP="007B7CFE">
      <w:pPr>
        <w:pStyle w:val="NormalWeb"/>
        <w:rPr>
          <w:rFonts w:ascii="Times New Roman" w:hAnsi="Times New Roman"/>
          <w:color w:val="auto"/>
          <w:sz w:val="24"/>
          <w:szCs w:val="24"/>
          <w:lang w:val="hr-HR"/>
        </w:rPr>
      </w:pPr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CCJE (2003) Op. N° 5 </w:t>
      </w:r>
    </w:p>
    <w:p w:rsidR="007B7CFE" w:rsidRPr="005D608A" w:rsidRDefault="007B7CFE" w:rsidP="007B7CFE">
      <w:pPr>
        <w:pStyle w:val="NormalWeb"/>
        <w:rPr>
          <w:rFonts w:ascii="Times New Roman" w:hAnsi="Times New Roman"/>
          <w:color w:val="auto"/>
          <w:sz w:val="24"/>
          <w:szCs w:val="24"/>
          <w:lang w:val="hr-HR"/>
        </w:rPr>
      </w:pPr>
      <w:r w:rsidRPr="005D608A">
        <w:rPr>
          <w:rFonts w:ascii="Times New Roman" w:hAnsi="Times New Roman"/>
          <w:b/>
          <w:bCs/>
          <w:color w:val="auto"/>
          <w:sz w:val="24"/>
          <w:szCs w:val="24"/>
          <w:lang w:val="hr-HR"/>
        </w:rPr>
        <w:t>Konsultativno vijeće evropskih sudija (CCJE)</w:t>
      </w:r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 </w:t>
      </w:r>
    </w:p>
    <w:p w:rsidR="007B7CFE" w:rsidRPr="005D608A" w:rsidRDefault="007B7CFE" w:rsidP="007B7CFE">
      <w:pPr>
        <w:pStyle w:val="coe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auto"/>
          <w:sz w:val="24"/>
          <w:szCs w:val="24"/>
          <w:lang w:val="hr-HR"/>
        </w:rPr>
      </w:pPr>
      <w:bookmarkStart w:id="0" w:name="P25_95"/>
      <w:bookmarkEnd w:id="0"/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Mišljenje br. 5 Konsultativnog vijeća evropskih sudija (CCJE) upućeno Komitetu ministara o zakonu i praksi imenovanja sudija u Evropski sud za ljudska prava </w:t>
      </w:r>
    </w:p>
    <w:p w:rsidR="007B7CFE" w:rsidRPr="005D608A" w:rsidRDefault="007B7CFE" w:rsidP="007B7CFE">
      <w:pPr>
        <w:pStyle w:val="NormalWeb"/>
        <w:rPr>
          <w:rFonts w:ascii="Times New Roman" w:hAnsi="Times New Roman"/>
          <w:color w:val="auto"/>
          <w:sz w:val="24"/>
          <w:szCs w:val="24"/>
          <w:lang w:val="hr-HR"/>
        </w:rPr>
      </w:pPr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1. Na svom četvrtom sastanku u Strazburu, od 24. do 28. novembra 2003, CCJE je konstatovao izvještaj Međunarodnog centra za pravnu zaštitu ljudskih prava iz maja 2003. „Zakoni i praksa imenovanja sudija u Evropski sud za ljudska prava“. </w:t>
      </w:r>
    </w:p>
    <w:p w:rsidR="007B7CFE" w:rsidRPr="005D608A" w:rsidRDefault="007B7CFE" w:rsidP="007B7CFE">
      <w:pPr>
        <w:pStyle w:val="NormalWeb"/>
        <w:rPr>
          <w:rFonts w:ascii="Times New Roman" w:hAnsi="Times New Roman"/>
          <w:color w:val="auto"/>
          <w:sz w:val="24"/>
          <w:szCs w:val="24"/>
          <w:lang w:val="hr-HR"/>
        </w:rPr>
      </w:pPr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2. CCJE podržava zaključke i preporuke predložene u izvještaju. On ih smatra važnim korakom u pravcu implementacije preporuka sadržanih u Mišljenju br. 1 (2001) o standardima nezavisnosti pravosuđa i nesmjenjivosti sudija, koje CCJE želi da afirmiše, a koji se tiču: </w:t>
      </w:r>
    </w:p>
    <w:p w:rsidR="007B7CFE" w:rsidRPr="005D608A" w:rsidRDefault="007B7CFE" w:rsidP="007B7CFE">
      <w:pPr>
        <w:pStyle w:val="NormalWeb"/>
        <w:rPr>
          <w:rFonts w:ascii="Times New Roman" w:hAnsi="Times New Roman"/>
          <w:color w:val="auto"/>
          <w:sz w:val="24"/>
          <w:szCs w:val="24"/>
          <w:lang w:val="hr-HR"/>
        </w:rPr>
      </w:pPr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>(a) procesa imenovanja sudija u međunarodne sudove, naročito paragrafa 56 tog Mišljenja u kom se kaže:</w:t>
      </w:r>
    </w:p>
    <w:p w:rsidR="007B7CFE" w:rsidRPr="005D608A" w:rsidRDefault="007B7CFE" w:rsidP="007B7CFE">
      <w:pPr>
        <w:pStyle w:val="NormalWeb"/>
        <w:rPr>
          <w:rFonts w:ascii="Times New Roman" w:hAnsi="Times New Roman"/>
          <w:bCs/>
          <w:color w:val="auto"/>
          <w:sz w:val="24"/>
          <w:szCs w:val="24"/>
          <w:lang w:val="hr-HR"/>
        </w:rPr>
      </w:pPr>
      <w:r w:rsidRPr="005D608A">
        <w:rPr>
          <w:rFonts w:ascii="Times New Roman" w:hAnsi="Times New Roman"/>
          <w:bCs/>
          <w:color w:val="auto"/>
          <w:sz w:val="24"/>
          <w:szCs w:val="24"/>
          <w:lang w:val="hr-HR"/>
        </w:rPr>
        <w:t>„CCJE se slaže da je, zbog važnosti koju za nacionalne pravne sisteme i sudije imaju obaveze iz međunarodnih ugovora poput Evropske konvencije i ugovora Evropske unije, od presudnog značaja da imenovanja i reimenovanja sudija u sudove koji tumače takve ugovore ulivaju isto povjerenje i slijede iste principe kao i nacionalni pravni sistemi. CCJE dalje smatra da uključivanje nezavisnog tijela pomenutog u paragrafima 37 i 45 treba podstaći kada je riječ o imenovanju i reimenovanju sudija u međunarodne sudove. Savjet Evrope i njegove institucije su, ukratko rečeno, zasnovane na vjerovanju u zajedničke vrijednosti koje su superiorne u odnosu na vrijednosti bilo koje države članice, i to vjerovanje je u praksi već proizvelo značan efekat. Te vrijednosti i napredak koji je postignut u njihovom razvoju i primjeni bili bi ugroženi ukoliko se na njihovoj primjeni ne bi insistiralo na nacionalnom nivou.“</w:t>
      </w:r>
    </w:p>
    <w:p w:rsidR="007B7CFE" w:rsidRPr="005D608A" w:rsidRDefault="007B7CFE" w:rsidP="007B7CFE">
      <w:pPr>
        <w:pStyle w:val="NormalWeb"/>
        <w:rPr>
          <w:rFonts w:ascii="Times New Roman" w:hAnsi="Times New Roman"/>
          <w:color w:val="auto"/>
          <w:sz w:val="24"/>
          <w:szCs w:val="24"/>
          <w:lang w:val="hr-HR"/>
        </w:rPr>
      </w:pPr>
      <w:r w:rsidRPr="005D608A">
        <w:rPr>
          <w:rFonts w:ascii="Times New Roman" w:hAnsi="Times New Roman"/>
          <w:bCs/>
          <w:color w:val="auto"/>
          <w:sz w:val="24"/>
          <w:szCs w:val="24"/>
          <w:lang w:val="hr-HR"/>
        </w:rPr>
        <w:t>Paragrafi 37 i 45 predlažu intervenciju nezavisnog tijela u kome su značajno zastupljene sudije kada je riječ o sudijskim imenovanjima.</w:t>
      </w:r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 </w:t>
      </w:r>
    </w:p>
    <w:p w:rsidR="007B7CFE" w:rsidRPr="005D608A" w:rsidRDefault="007B7CFE" w:rsidP="007B7CFE">
      <w:pPr>
        <w:pStyle w:val="NormalWeb"/>
        <w:rPr>
          <w:rFonts w:ascii="Times New Roman" w:hAnsi="Times New Roman"/>
          <w:color w:val="auto"/>
          <w:sz w:val="24"/>
          <w:szCs w:val="24"/>
          <w:lang w:val="hr-HR"/>
        </w:rPr>
      </w:pPr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>(b) mandata, naročito paragrafa 57 i 52 u kojima se kaže:</w:t>
      </w:r>
    </w:p>
    <w:p w:rsidR="007B7CFE" w:rsidRPr="005D608A" w:rsidRDefault="007B7CFE" w:rsidP="007B7CFE">
      <w:pPr>
        <w:pStyle w:val="NormalWeb"/>
        <w:rPr>
          <w:rFonts w:ascii="Times New Roman" w:hAnsi="Times New Roman"/>
          <w:color w:val="auto"/>
          <w:sz w:val="24"/>
          <w:szCs w:val="24"/>
          <w:lang w:val="hr-HR"/>
        </w:rPr>
      </w:pPr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>„Osnovni princip sudske nezavisnosti je to da je mandat garantovan do zakonske starosne granice za odlazak u penziju ili do isteka fiksnog mandata“</w:t>
      </w:r>
    </w:p>
    <w:p w:rsidR="007B7CFE" w:rsidRPr="005D608A" w:rsidRDefault="007B7CFE" w:rsidP="007B7CFE">
      <w:pPr>
        <w:pStyle w:val="NormalWeb"/>
        <w:rPr>
          <w:rFonts w:ascii="Times New Roman" w:hAnsi="Times New Roman"/>
          <w:color w:val="auto"/>
          <w:sz w:val="24"/>
          <w:szCs w:val="24"/>
          <w:lang w:val="hr-HR"/>
        </w:rPr>
      </w:pPr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„CCJE smatra da, izuzetno, u slučajevima gdje se sudija koji radi puno radno vrijeme imenuje na ograničen vremenski period, ne bi trebalo da bude reimenovanja osim ako postoje procedure koje obezbjeđuju da: </w:t>
      </w:r>
    </w:p>
    <w:p w:rsidR="007B7CFE" w:rsidRPr="005D608A" w:rsidRDefault="007B7CFE" w:rsidP="007B7CFE">
      <w:pPr>
        <w:pStyle w:val="NormalWeb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lang w:val="hr-HR"/>
        </w:rPr>
      </w:pPr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>i. reimenovanje sudije, ukoliko on ili ona to žele, bude razmatrano od strane tijela za imenovanja, i da</w:t>
      </w:r>
    </w:p>
    <w:p w:rsidR="007B7CFE" w:rsidRPr="005D608A" w:rsidRDefault="007B7CFE" w:rsidP="007B7CFE">
      <w:pPr>
        <w:pStyle w:val="NormalWeb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lang w:val="hr-HR"/>
        </w:rPr>
      </w:pPr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lastRenderedPageBreak/>
        <w:t>ii. odluka o reimenovanju bude donešena isključivo objektivno i prema zaslugama ne uzimajući u obzir političke razloge“</w:t>
      </w:r>
    </w:p>
    <w:p w:rsidR="007B7CFE" w:rsidRPr="005D608A" w:rsidRDefault="007B7CFE" w:rsidP="007B7CFE">
      <w:pPr>
        <w:pStyle w:val="NormalWeb"/>
        <w:rPr>
          <w:rFonts w:ascii="Times New Roman" w:hAnsi="Times New Roman"/>
          <w:color w:val="auto"/>
          <w:sz w:val="24"/>
          <w:szCs w:val="24"/>
          <w:lang w:val="hr-HR"/>
        </w:rPr>
      </w:pPr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>3. Objektivni kriterijumi za imenovanje sudije u Evropski sud za ljudska prava su utvrđeni članom 21 Konvencije o zaštiti ljudskih prava i osnovnih sloboda, koji glasi:</w:t>
      </w:r>
    </w:p>
    <w:p w:rsidR="007B7CFE" w:rsidRPr="005D608A" w:rsidRDefault="007B7CFE" w:rsidP="007B7CFE">
      <w:pPr>
        <w:pStyle w:val="NormalWeb"/>
        <w:rPr>
          <w:rFonts w:ascii="Times New Roman" w:hAnsi="Times New Roman"/>
          <w:color w:val="auto"/>
          <w:sz w:val="24"/>
          <w:szCs w:val="24"/>
          <w:lang w:val="sr-Latn-CS"/>
        </w:rPr>
      </w:pPr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>„</w:t>
      </w:r>
      <w:proofErr w:type="spellStart"/>
      <w:r w:rsidRPr="005D608A">
        <w:rPr>
          <w:rFonts w:ascii="Times New Roman" w:hAnsi="Times New Roman"/>
          <w:color w:val="auto"/>
          <w:sz w:val="24"/>
          <w:szCs w:val="24"/>
        </w:rPr>
        <w:t>Sudije</w:t>
      </w:r>
      <w:proofErr w:type="spellEnd"/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 </w:t>
      </w:r>
      <w:proofErr w:type="spellStart"/>
      <w:r w:rsidRPr="005D608A">
        <w:rPr>
          <w:rFonts w:ascii="Times New Roman" w:hAnsi="Times New Roman"/>
          <w:color w:val="auto"/>
          <w:sz w:val="24"/>
          <w:szCs w:val="24"/>
        </w:rPr>
        <w:t>moraju</w:t>
      </w:r>
      <w:proofErr w:type="spellEnd"/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 </w:t>
      </w:r>
      <w:proofErr w:type="spellStart"/>
      <w:r w:rsidRPr="005D608A">
        <w:rPr>
          <w:rFonts w:ascii="Times New Roman" w:hAnsi="Times New Roman"/>
          <w:color w:val="auto"/>
          <w:sz w:val="24"/>
          <w:szCs w:val="24"/>
        </w:rPr>
        <w:t>imati</w:t>
      </w:r>
      <w:proofErr w:type="spellEnd"/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 </w:t>
      </w:r>
      <w:proofErr w:type="spellStart"/>
      <w:r w:rsidRPr="005D608A">
        <w:rPr>
          <w:rFonts w:ascii="Times New Roman" w:hAnsi="Times New Roman"/>
          <w:color w:val="auto"/>
          <w:sz w:val="24"/>
          <w:szCs w:val="24"/>
        </w:rPr>
        <w:t>visoki</w:t>
      </w:r>
      <w:proofErr w:type="spellEnd"/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 </w:t>
      </w:r>
      <w:proofErr w:type="spellStart"/>
      <w:r w:rsidRPr="005D608A">
        <w:rPr>
          <w:rFonts w:ascii="Times New Roman" w:hAnsi="Times New Roman"/>
          <w:color w:val="auto"/>
          <w:sz w:val="24"/>
          <w:szCs w:val="24"/>
        </w:rPr>
        <w:t>moralni</w:t>
      </w:r>
      <w:proofErr w:type="spellEnd"/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 </w:t>
      </w:r>
      <w:proofErr w:type="spellStart"/>
      <w:r w:rsidRPr="005D608A">
        <w:rPr>
          <w:rFonts w:ascii="Times New Roman" w:hAnsi="Times New Roman"/>
          <w:color w:val="auto"/>
          <w:sz w:val="24"/>
          <w:szCs w:val="24"/>
        </w:rPr>
        <w:t>ugled</w:t>
      </w:r>
      <w:proofErr w:type="spellEnd"/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 </w:t>
      </w:r>
      <w:r w:rsidRPr="005D608A">
        <w:rPr>
          <w:rFonts w:ascii="Times New Roman" w:hAnsi="Times New Roman"/>
          <w:color w:val="auto"/>
          <w:sz w:val="24"/>
          <w:szCs w:val="24"/>
        </w:rPr>
        <w:t>i</w:t>
      </w:r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 </w:t>
      </w:r>
      <w:proofErr w:type="spellStart"/>
      <w:r w:rsidRPr="005D608A">
        <w:rPr>
          <w:rFonts w:ascii="Times New Roman" w:hAnsi="Times New Roman"/>
          <w:color w:val="auto"/>
          <w:sz w:val="24"/>
          <w:szCs w:val="24"/>
        </w:rPr>
        <w:t>posjedovati</w:t>
      </w:r>
      <w:proofErr w:type="spellEnd"/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 </w:t>
      </w:r>
      <w:proofErr w:type="spellStart"/>
      <w:r w:rsidRPr="005D608A">
        <w:rPr>
          <w:rFonts w:ascii="Times New Roman" w:hAnsi="Times New Roman"/>
          <w:color w:val="auto"/>
          <w:sz w:val="24"/>
          <w:szCs w:val="24"/>
        </w:rPr>
        <w:t>kvalifikacije</w:t>
      </w:r>
      <w:proofErr w:type="spellEnd"/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 </w:t>
      </w:r>
      <w:proofErr w:type="spellStart"/>
      <w:r w:rsidRPr="005D608A">
        <w:rPr>
          <w:rFonts w:ascii="Times New Roman" w:hAnsi="Times New Roman"/>
          <w:color w:val="auto"/>
          <w:sz w:val="24"/>
          <w:szCs w:val="24"/>
        </w:rPr>
        <w:t>potrebne</w:t>
      </w:r>
      <w:proofErr w:type="spellEnd"/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 </w:t>
      </w:r>
      <w:r w:rsidRPr="005D608A">
        <w:rPr>
          <w:rFonts w:ascii="Times New Roman" w:hAnsi="Times New Roman"/>
          <w:color w:val="auto"/>
          <w:sz w:val="24"/>
          <w:szCs w:val="24"/>
        </w:rPr>
        <w:t>za</w:t>
      </w:r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 </w:t>
      </w:r>
      <w:proofErr w:type="spellStart"/>
      <w:r w:rsidRPr="005D608A">
        <w:rPr>
          <w:rFonts w:ascii="Times New Roman" w:hAnsi="Times New Roman"/>
          <w:color w:val="auto"/>
          <w:sz w:val="24"/>
          <w:szCs w:val="24"/>
        </w:rPr>
        <w:t>obavljanje</w:t>
      </w:r>
      <w:proofErr w:type="spellEnd"/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 </w:t>
      </w:r>
      <w:proofErr w:type="spellStart"/>
      <w:r w:rsidRPr="005D608A">
        <w:rPr>
          <w:rFonts w:ascii="Times New Roman" w:hAnsi="Times New Roman"/>
          <w:color w:val="auto"/>
          <w:sz w:val="24"/>
          <w:szCs w:val="24"/>
        </w:rPr>
        <w:t>visokih</w:t>
      </w:r>
      <w:proofErr w:type="spellEnd"/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 </w:t>
      </w:r>
      <w:proofErr w:type="spellStart"/>
      <w:r w:rsidRPr="005D608A">
        <w:rPr>
          <w:rFonts w:ascii="Times New Roman" w:hAnsi="Times New Roman"/>
          <w:color w:val="auto"/>
          <w:sz w:val="24"/>
          <w:szCs w:val="24"/>
        </w:rPr>
        <w:t>sudskih</w:t>
      </w:r>
      <w:proofErr w:type="spellEnd"/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 </w:t>
      </w:r>
      <w:proofErr w:type="spellStart"/>
      <w:r w:rsidRPr="005D608A">
        <w:rPr>
          <w:rFonts w:ascii="Times New Roman" w:hAnsi="Times New Roman"/>
          <w:color w:val="auto"/>
          <w:sz w:val="24"/>
          <w:szCs w:val="24"/>
        </w:rPr>
        <w:t>funkcija</w:t>
      </w:r>
      <w:proofErr w:type="spellEnd"/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, </w:t>
      </w:r>
      <w:proofErr w:type="spellStart"/>
      <w:r w:rsidRPr="005D608A">
        <w:rPr>
          <w:rFonts w:ascii="Times New Roman" w:hAnsi="Times New Roman"/>
          <w:color w:val="auto"/>
          <w:sz w:val="24"/>
          <w:szCs w:val="24"/>
        </w:rPr>
        <w:t>odnosno</w:t>
      </w:r>
      <w:proofErr w:type="spellEnd"/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 </w:t>
      </w:r>
      <w:proofErr w:type="spellStart"/>
      <w:r w:rsidRPr="005D608A">
        <w:rPr>
          <w:rFonts w:ascii="Times New Roman" w:hAnsi="Times New Roman"/>
          <w:color w:val="auto"/>
          <w:sz w:val="24"/>
          <w:szCs w:val="24"/>
        </w:rPr>
        <w:t>biti</w:t>
      </w:r>
      <w:proofErr w:type="spellEnd"/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 </w:t>
      </w:r>
      <w:proofErr w:type="spellStart"/>
      <w:r w:rsidRPr="005D608A">
        <w:rPr>
          <w:rFonts w:ascii="Times New Roman" w:hAnsi="Times New Roman"/>
          <w:color w:val="auto"/>
          <w:sz w:val="24"/>
          <w:szCs w:val="24"/>
        </w:rPr>
        <w:t>priznati</w:t>
      </w:r>
      <w:proofErr w:type="spellEnd"/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 </w:t>
      </w:r>
      <w:proofErr w:type="spellStart"/>
      <w:r w:rsidRPr="005D608A">
        <w:rPr>
          <w:rFonts w:ascii="Times New Roman" w:hAnsi="Times New Roman"/>
          <w:color w:val="auto"/>
          <w:sz w:val="24"/>
          <w:szCs w:val="24"/>
        </w:rPr>
        <w:t>pravni</w:t>
      </w:r>
      <w:proofErr w:type="spellEnd"/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 </w:t>
      </w:r>
      <w:proofErr w:type="spellStart"/>
      <w:r w:rsidRPr="005D608A">
        <w:rPr>
          <w:rFonts w:ascii="Times New Roman" w:hAnsi="Times New Roman"/>
          <w:color w:val="auto"/>
          <w:sz w:val="24"/>
          <w:szCs w:val="24"/>
        </w:rPr>
        <w:t>stru</w:t>
      </w:r>
      <w:proofErr w:type="spellEnd"/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>č</w:t>
      </w:r>
      <w:proofErr w:type="spellStart"/>
      <w:r w:rsidRPr="005D608A">
        <w:rPr>
          <w:rFonts w:ascii="Times New Roman" w:hAnsi="Times New Roman"/>
          <w:color w:val="auto"/>
          <w:sz w:val="24"/>
          <w:szCs w:val="24"/>
        </w:rPr>
        <w:t>njaci</w:t>
      </w:r>
      <w:proofErr w:type="spellEnd"/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>.</w:t>
      </w:r>
      <w:r w:rsidRPr="005D608A">
        <w:rPr>
          <w:rFonts w:ascii="Times New Roman" w:hAnsi="Times New Roman"/>
          <w:color w:val="auto"/>
          <w:sz w:val="24"/>
          <w:szCs w:val="24"/>
          <w:lang w:val="sr-Latn-CS"/>
        </w:rPr>
        <w:t>“</w:t>
      </w:r>
    </w:p>
    <w:p w:rsidR="007B7CFE" w:rsidRPr="005D608A" w:rsidRDefault="007B7CFE" w:rsidP="007B7CFE">
      <w:pPr>
        <w:pStyle w:val="NormalWeb"/>
        <w:rPr>
          <w:rFonts w:ascii="Times New Roman" w:hAnsi="Times New Roman"/>
          <w:color w:val="auto"/>
          <w:sz w:val="24"/>
          <w:szCs w:val="24"/>
          <w:lang w:val="hr-HR"/>
        </w:rPr>
      </w:pPr>
      <w:r w:rsidRPr="005D608A">
        <w:rPr>
          <w:rFonts w:ascii="Times New Roman" w:hAnsi="Times New Roman"/>
          <w:color w:val="auto"/>
          <w:sz w:val="24"/>
          <w:szCs w:val="24"/>
          <w:lang w:val="hr-HR"/>
        </w:rPr>
        <w:t xml:space="preserve">4. CCJE u čiji sastav ulaze sudije nacionalnih sudova iz 45 zemalja članica Savjeta Evrope, podvlači da pridaje presudnu važnost imenovanju u Evropski sud za ljudska prava sudija koje ne ispunjavaju te kriterijume ali predstavljaju najbolje raspoložive kandidate za to imenovanje. Integritet i ugled Suda, ali i same Konvencije, zavisi od ovoga. </w:t>
      </w:r>
    </w:p>
    <w:p w:rsidR="007B7CFE" w:rsidRPr="005D608A" w:rsidRDefault="007B7CFE" w:rsidP="007B7CFE">
      <w:pPr>
        <w:rPr>
          <w:lang w:val="hr-HR"/>
        </w:rPr>
      </w:pPr>
    </w:p>
    <w:p w:rsidR="007B7CFE" w:rsidRDefault="007B7CFE"/>
    <w:sectPr w:rsidR="007B7C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7CFE"/>
    <w:rsid w:val="007B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7CFE"/>
    <w:pPr>
      <w:spacing w:before="100" w:beforeAutospacing="1" w:after="100" w:afterAutospacing="1"/>
    </w:pPr>
    <w:rPr>
      <w:rFonts w:ascii="Verdana" w:hAnsi="Verdana"/>
      <w:color w:val="000000"/>
      <w:sz w:val="25"/>
      <w:szCs w:val="25"/>
      <w:lang w:val="en-US"/>
    </w:rPr>
  </w:style>
  <w:style w:type="paragraph" w:customStyle="1" w:styleId="coetitre">
    <w:name w:val="coe_titre"/>
    <w:basedOn w:val="Normal"/>
    <w:rsid w:val="007B7CFE"/>
    <w:pPr>
      <w:spacing w:before="100" w:beforeAutospacing="1" w:after="100" w:afterAutospacing="1"/>
    </w:pPr>
    <w:rPr>
      <w:rFonts w:ascii="Verdana" w:hAnsi="Verdana"/>
      <w:b/>
      <w:bCs/>
      <w:color w:val="000000"/>
      <w:sz w:val="48"/>
      <w:szCs w:val="4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Company>Stasa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Stasa</dc:creator>
  <cp:keywords/>
  <dc:description/>
  <cp:lastModifiedBy>Stasa</cp:lastModifiedBy>
  <cp:revision>1</cp:revision>
  <dcterms:created xsi:type="dcterms:W3CDTF">2013-10-09T12:21:00Z</dcterms:created>
  <dcterms:modified xsi:type="dcterms:W3CDTF">2013-10-09T12:21:00Z</dcterms:modified>
</cp:coreProperties>
</file>