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CCJE(2015)4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London, 16. oktobar 2015.</w:t>
      </w:r>
      <w:r w:rsidR="00D66C5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godine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KONSULTATIVNO VEĆE E</w:t>
      </w:r>
      <w:r w:rsidR="00D66C56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ROPSKIH SUDIJA (CCJE)</w:t>
      </w:r>
    </w:p>
    <w:p w:rsidR="00303095" w:rsidRPr="00C5255F" w:rsidRDefault="004461D1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MIŠLJENJE BROJ</w:t>
      </w:r>
      <w:r w:rsidR="00303095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18 (2015)</w:t>
      </w:r>
    </w:p>
    <w:p w:rsidR="00303095" w:rsidRPr="00C5255F" w:rsidRDefault="00D66C56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„Položaj sudske vlasti i nje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 odnos s drugim državnim vlastima u modernoj demokra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iji”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I. Uvo</w:t>
      </w:r>
      <w:r w:rsidR="004461D1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d. Obrazloženje i područje prim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ene Mišljenja</w:t>
      </w:r>
    </w:p>
    <w:p w:rsidR="00303095" w:rsidRPr="00C5255F" w:rsidRDefault="00303095" w:rsidP="006368D1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1. T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okom posl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ednjih nekoliko d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ecenija prom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enio se odnos između triju državnih vlasti (zakonodavne, izvršne i sud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). Izvršna i zakonodavna vlast postale su više međusobno 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zavisne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Smanjena je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prevlast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zakonodavne vlasti da poziva izvršnu vlast na odgovornost</w:t>
      </w:r>
      <w:bookmarkStart w:id="0" w:name="P25_53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"P25_529"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0"/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isto vr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eme, uloga sud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je evoluirala. Broj slučajeva podnesenih sudovima i broj zakonodavni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h akata koje sudovi moraju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enjivati značajno se povećao. Rast izvršne vlasti konkretno je doveo do višestrukih </w:t>
      </w:r>
      <w:r w:rsidR="007018A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ispitivanja njenih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radnj</w:t>
      </w:r>
      <w:r w:rsidR="007018A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pred sudom, što je potom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dovelo do 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preispitivanja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opsega uloge sud</w:t>
      </w:r>
      <w:r w:rsidR="000B0ED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u nadzoru izvršne vlasti. </w:t>
      </w:r>
      <w:r w:rsidR="0062732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Povećava se broj slučajeva kojima se ispituj</w:t>
      </w:r>
      <w:r w:rsidR="00691E6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</w:t>
      </w:r>
      <w:r w:rsidR="0062732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ovlašćenja i delovanja zakonodavne vlasti</w:t>
      </w:r>
      <w:r w:rsidR="00691E6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pred sudovima.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CC252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Kao posledica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CC252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 </w:t>
      </w:r>
      <w:r w:rsidR="00CC252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postala aktivnija u nadzoru, a </w:t>
      </w:r>
      <w:r w:rsidR="00CC252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ponekad čak i u ograničavanju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elovanja drugih dv</w:t>
      </w:r>
      <w:r w:rsidR="00CC252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 vlasti</w:t>
      </w:r>
      <w:bookmarkStart w:id="1" w:name="P26_136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"P26_1360"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Danas, za strane u sudskom s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poru i za društvo kao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elinu, sudski postupak pruža svojevrsni alte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rnativni demokratski prostor gde se razmenjuju argumenti između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ela javnosti i državnih vlasti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te raspravlja o pitanjima od opšt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eg interesa. Sudovi donos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presude o pitanjima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velikog ekonomskog i političkog značaja. M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eđunarodne institucije, posebno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 Ev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 i E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opski sud za ljudska prava (ESLj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P), E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ropska unija i Sud 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pravde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Europske </w:t>
      </w:r>
      <w:r w:rsidR="005637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unije (CJEU), imaju značajan uticaj u državama članicama, posebno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jačanju ne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isnosti sud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 vlasti 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uloge u zaštiti ljudskih prava. Št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aviše,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ena e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ropskih i međunarodnih pravila i standarda i 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sprovođenje odluka ESLj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P-a i CJEU-a postavljaju nove izazove za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državama članicama, a političari ili 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kritičari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ponekad dovode u pitan</w:t>
      </w:r>
      <w:r w:rsidR="006368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način na koji ih sudovi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enjuju.</w:t>
      </w:r>
    </w:p>
    <w:p w:rsidR="00303095" w:rsidRPr="00C5255F" w:rsidRDefault="00303095" w:rsidP="00D31D3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2. Iako „</w:t>
      </w:r>
      <w:r w:rsidR="00B7675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vlasti”</w:t>
      </w:r>
      <w:r w:rsidR="00B7675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zemlje članice uglavnom prihvataju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brojni sukobi i napetosti koji su se pojavili u posljednjih nekoliko godina stvaraju zabrinutost. Takva zabrinutost izražena je u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generalnog sekretara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Saveta Ev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 za 2014. i 2015. godinu</w:t>
      </w:r>
      <w:bookmarkStart w:id="2" w:name="P29_266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"P29_2660"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i u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CCJE-a o stanju za 2013. i 2015. godinu.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u nekim zemljama nove političke većine do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vele su u pitanje položaj 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</w:t>
      </w:r>
      <w:bookmarkStart w:id="3" w:name="P30_3106"/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su već na funkciji</w:t>
      </w:r>
      <w:hyperlink r:id="rId5" w:anchor="P30_310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4</w:t>
        </w:r>
      </w:hyperlink>
      <w:bookmarkEnd w:id="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2015. godini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generalni sekretar Saveta Evrope istakao je nedostatke u izvršenjima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sudskih odluka</w:t>
      </w:r>
      <w:bookmarkStart w:id="4" w:name="P31_333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"P31_3329"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nekim državama članicama izvrš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vlast ostvaruje značajan uti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caj nad upravljanjem </w:t>
      </w:r>
      <w:r w:rsidR="001E054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čime se dovodi u pitanje institucionalna ne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visnost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ne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zavisnost </w:t>
      </w:r>
      <w:bookmarkStart w:id="5" w:name="P32_3623"/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pojedinaca</w:t>
      </w:r>
      <w:hyperlink r:id="rId6" w:anchor="P32_3622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6</w:t>
        </w:r>
      </w:hyperlink>
      <w:bookmarkEnd w:id="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Ekonomska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kriza i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hronični nedostatak finans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iranja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nekoliko država članica otvara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pitanje </w:t>
      </w:r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budžetske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odgovornosti zakonodavne vlasti prema </w:t>
      </w:r>
      <w:bookmarkStart w:id="6" w:name="P33_3888"/>
      <w:r w:rsidR="00C547C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sudstvu</w:t>
      </w:r>
      <w:hyperlink r:id="rId7" w:anchor="P33_3887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7</w:t>
        </w:r>
      </w:hyperlink>
      <w:bookmarkEnd w:id="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Nepostojanje zakona ili (kao dr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uga krajnost) brzo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enjanje zakona mogu biti u suprotnosti s načelom pravne sigurnosti</w:t>
      </w:r>
      <w:bookmarkStart w:id="7" w:name="P34_411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"P34_4112"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"/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Dešavali su se i verbalni napadi na sudstvo od strane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pripadnika izvršne i zakonodavne vlasti. U 2014. i 2015.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godini generalni sekretar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Saveta Evrope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etio je da su političari i ostali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kritičari koji su u posl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ednjih nekoliko godina javno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kritikovali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 odluke time narušili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erenje javnosti u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različitim zemljama</w:t>
      </w:r>
      <w:bookmarkStart w:id="8" w:name="P35_456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"P35_4560"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Određeni politički i medijski krugovi stvorili su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utisak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nije dovoljno „odgovorno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 društvu. Takve komentare, koji su uključivali izjave kojima se dovodi u pitanje „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</w:t>
      </w:r>
      <w:r w:rsidR="0062521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navele su države članice u odgovoru na upitnik 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koji im je dostavljen kao priprema ovog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Mišljenja. Jasno je da se svi ti komentari i radnje moraju analizirati uzimajući u obzir činjenicu da danas u većini e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ropskih zemalja tradicionalni izvori vlasti nisu više tako dobro prihvaćeni kao što su bili nekada. Došlo je do smanjenja „poštovanja” prema javnim 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institucijama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Isto tako, d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anas se često može čuti da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ena 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demokratskih načela z</w:t>
      </w:r>
      <w:r w:rsidR="003106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aht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eva</w:t>
      </w:r>
      <w:r w:rsidR="00D31D3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postoji veća potreba za otvorenošću i transparentnošću rada javnih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institucija. Sve to znači da oni koji su uključeni u pružanje javnih usluga sve više moraju </w:t>
      </w:r>
      <w:r w:rsidR="00D31D3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“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opravdavati</w:t>
      </w:r>
      <w:r w:rsidR="00D31D3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način na koji obavljaju svoj posao.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3. Dakle, u s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kladu s mandatom koji mu je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erio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Komitet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ministara,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Konsultativno veće ev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ropskih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(CCJE) odlučilo je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razmotri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odgovornost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sudstva, kao i odgovarajuće odnose tri grane državne vlasti u modernoj demokratiji i njihove međusobne odgovornosti jedne prema drugoj i prema društvu uopšte u XXI veku. 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4. </w:t>
      </w:r>
      <w:r w:rsidR="006C3DB0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Ovo Mišljenje razmatra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sledeća pitanja:</w:t>
      </w:r>
    </w:p>
    <w:p w:rsidR="00303095" w:rsidRPr="00C5255F" w:rsidRDefault="00303095" w:rsidP="00591A3A">
      <w:pPr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i. Kakav bi odnos treba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postoji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 vlasti jedne države i 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zakonodavne i izvršne vlasti?</w:t>
      </w:r>
    </w:p>
    <w:p w:rsidR="00303095" w:rsidRPr="00C5255F" w:rsidRDefault="00303095" w:rsidP="00591A3A">
      <w:pPr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ii. Na kojim osnovama 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uspostavljaju s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voje pravo da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eluju kao takv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demokratskom društvu? Kako se dokazuje „</w:t>
      </w:r>
      <w:r w:rsidR="00E32BD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 sud</w:t>
      </w:r>
      <w:r w:rsidR="004C00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vlasti?</w:t>
      </w:r>
    </w:p>
    <w:p w:rsidR="00303095" w:rsidRPr="00C5255F" w:rsidRDefault="00591A3A" w:rsidP="00591A3A">
      <w:pPr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iii. U kojoj 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eri i na koji način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bi sudstva trebalo da budu odgovorna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društvima kojima služe i drugim državnim vlastima?</w:t>
      </w:r>
    </w:p>
    <w:p w:rsidR="00303095" w:rsidRPr="00C5255F" w:rsidRDefault="00303095" w:rsidP="00591A3A">
      <w:pPr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iv. Kako tri grane državne vlasti mogu </w:t>
      </w:r>
      <w:r w:rsidR="00591A3A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vrše svoju vlast na način na koji se postiže i održava odgovarajuća ravnoteža među njima i pritom deluju u interesu društva kojem sve služe?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</w:p>
    <w:p w:rsidR="00303095" w:rsidRPr="00C5255F" w:rsidRDefault="00AA19E9" w:rsidP="00AA19E9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Ovo Mišljenje neće ispitivati osnovna načela sudske nezavisnosti, pošto su ona razmotrena u Mišljenju CCJE broj 1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(2001). O odnosu između sudova i</w:t>
      </w:r>
      <w:r w:rsidR="00303095" w:rsidRPr="00C5255F">
        <w:rPr>
          <w:rFonts w:ascii="Cambria Math" w:eastAsia="Times New Roman" w:hAnsi="Cambria Math" w:cs="Cambria Math"/>
          <w:color w:val="000000"/>
          <w:sz w:val="16"/>
          <w:szCs w:val="16"/>
          <w:lang w:val="sr-Latn-CS"/>
        </w:rPr>
        <w:t>​</w:t>
      </w:r>
      <w:r w:rsidRPr="00C5255F">
        <w:rPr>
          <w:rFonts w:ascii="Cambria Math" w:eastAsia="Times New Roman" w:hAnsi="Cambria Math" w:cs="Cambria Math"/>
          <w:color w:val="000000"/>
          <w:sz w:val="16"/>
          <w:szCs w:val="16"/>
          <w:lang w:val="sr-Latn-CS"/>
        </w:rPr>
        <w:t xml:space="preserve"> 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medija raspravljalo se u Mišljenju br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 7 (2005), D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o C, 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te 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ni to neće 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biti 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detaljno 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ispitivano</w:t>
      </w:r>
      <w:r w:rsidR="00303095"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 u ovom Mišljenju.</w:t>
      </w:r>
    </w:p>
    <w:p w:rsidR="00303095" w:rsidRPr="00C5255F" w:rsidRDefault="00303095" w:rsidP="00C5255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5. Ovo Mišljenje 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pripremljeno na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osnovu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prethodnih Mišljenja CCJE-a, 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CCJE-ove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Magna Cart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(2010) te relevantnih instrumenata 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Saveta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BC49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rope, među kojima su E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opska povelja o zakonima za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(1998) i Preporuka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hyperlink r:id="rId8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Komiteta ministara o sudijama: neza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visnost, 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efikasnost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odgovornosti (u dalj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em tekstu: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Preporuka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hyperlink r:id="rId9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). 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Takođe je uzelo u obzir Kijevske preporuke OEBS-a o sudijskoj nezavisnosti u Istočnoj Evropi, Južnom Kavkazu i Centralnoj Aziji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(2010) – sudska uprava, 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izbor i odgovornost (u daljem tekstu: Kijevske Preporuke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); Izv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eštaj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E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ropske mreže 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pravosunih saveta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(ENCJ) o </w:t>
      </w:r>
      <w:r w:rsidR="00E5492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odgovornosti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za 2013–2014. (u daljem tekstu Izv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eš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će ENCJ-a za 2013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2014);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Venecijanske komisije o vladavini prava (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mart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2011), o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 sudske vlasti, Deo 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: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mart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2010) i Mišljenje br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403/2006 Venecijanske komisije o imenovanju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usvojeno na 70.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plenarnoj sednici održanoj 16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–17.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Marta 2007. (u daljem tekstu: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Venecijanska komisija, imenovanja sud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2007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); Bangalors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 načela ponašanja sud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(2002); 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Izveštaje generalnog sekretara Saveta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E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 (2014</w:t>
      </w:r>
      <w:r w:rsidR="007A3C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 i (2015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); Kodeks iz N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 Delhija o minimalnim standardima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(Standardi iz N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Delhija iz 1982). U ovom Mišljenju uzeti su u obzir odgovori država članica na upitnik o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njenom odnosu s drugim držav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nim vlastima u modernoj demokrat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iji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kao i pripremni izveštaj koji j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sastavila gđa Anne SANDERS (N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emačka),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naučni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stručnjak kojeg je imenovao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Savet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vrope. Osim toga,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Mišljenje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imalo koristi od doprinosa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 semi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nara održanog u Strazburu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19.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marta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2015.</w:t>
      </w:r>
      <w:bookmarkStart w:id="9" w:name="P52_867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"P52_8678"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"/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U Mišljenju su takođe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upotrijebljeni zaključci sa s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eminara u organizaciji </w:t>
      </w:r>
      <w:r w:rsidR="00BD5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orveškog udruženja 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održanog u Bergenu (Norveška) 4. </w:t>
      </w:r>
      <w:r w:rsidR="00C5255F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2015.</w:t>
      </w:r>
      <w:bookmarkStart w:id="10" w:name="P53_926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"P53_9262"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"/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II. Ustavni okvir moderne demokra</w:t>
      </w:r>
      <w:r w:rsidR="00BD52F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t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ije: kako se u njega uklapa </w:t>
      </w:r>
      <w:r w:rsidR="00BD52F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?</w:t>
      </w:r>
    </w:p>
    <w:p w:rsidR="00303095" w:rsidRPr="00C5255F" w:rsidRDefault="00303095" w:rsidP="0008731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6.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Uopšteno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prihvaćeno da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moderna demokratska država trebalo da bude zasnovana na podeli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</w:t>
      </w:r>
      <w:bookmarkStart w:id="11" w:name="P58_970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"P58_9703"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jedan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tri osnovna ali međusobno jednaka stuba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moderne demokratske države</w:t>
      </w:r>
      <w:bookmarkStart w:id="12" w:name="P59_988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"P59_9882"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Sve tri vlasti pružaju javne usluge i moraju jedna drugoj odgovarati za svoje postupke. U demokratskoj državi u kojoj je na snazi vladavina prava, nij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edna od tri državne vlasti ne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eluje u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sopstvenom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intere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su, već u interesu naroda kao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eline. U demokratskoj državi u kojoj je na snazi vladavina prava („Etat de droit” ili „Rechtss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taat”), sve tri vlasti moraju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elovati na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zakona i u okviru ograničenja propisanih zakonom. Odgovori država članica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upitnik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pokazuju da sve države članice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prepoznaju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 </w:t>
      </w:r>
      <w:r w:rsidR="0008731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osnovna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načela.</w:t>
      </w:r>
    </w:p>
    <w:p w:rsidR="00303095" w:rsidRPr="00C5255F" w:rsidRDefault="00303095" w:rsidP="00B44D84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7. U demokratskom društvu odgovornost je zakonodavc</w:t>
      </w:r>
      <w:r w:rsidR="009A73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uspostavi pravni okvir u kojem i </w:t>
      </w:r>
      <w:r w:rsidR="009A73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skladu sa koji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 društvo </w:t>
      </w:r>
      <w:r w:rsidR="009A73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živi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Izvršna vlast </w:t>
      </w:r>
      <w:r w:rsidR="009A733C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odgovorna za upravljanje društvom (u </w:t>
      </w:r>
      <w:r w:rsidR="009A73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onoj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meri u kojoj </w:t>
      </w:r>
      <w:r w:rsidR="009A73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ih državni službenici izvršavaju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), u skladu s pravnim okvirom koji je odredila zakonodavna vlast. Funkcija </w:t>
      </w:r>
      <w:r w:rsidR="0085290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da </w:t>
      </w:r>
      <w:r w:rsidR="0085290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presuđuje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5290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 članovima društva i države i među samim članovima društva.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E4DC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Često je sudstvo pozvano da preduđuje o odnosu između dve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ili čak sve tri državne vlasti</w:t>
      </w:r>
      <w:bookmarkStart w:id="13" w:name="P62_11102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"P62_11101"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Sve to mora biti izvedeno u skladu s načelima vladavine prava.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Nezavisan i efikasan suds</w:t>
      </w:r>
      <w:r w:rsidR="006E4DC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ki sistem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kamen temeljac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vladavine prava</w:t>
      </w:r>
      <w:bookmarkStart w:id="14" w:name="P63_1140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"P63_11400"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tome,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ilj svakog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nezavisnog i efikasnog sudskog sistema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bude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osigura pošteno, nepristra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no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suđenje u pravnim sporovima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štiteći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pritom</w:t>
      </w:r>
      <w:r w:rsidR="00B44D8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prava i slobode svih osoba koje traže pravdu. Kako bi se postigao taj cilj, sud mora u svakom konkretnom slučaju pronaći relevantne činje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nice u pravičnom postupku,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enjivati zakon i mora pružiti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delotvorne pravne l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ekove. U k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rivičnim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predmetima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sudovi moraju nepristra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no i samostalno odlučiti o tome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li i na koji način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određeni postupci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zaslužuju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znu</w:t>
      </w:r>
      <w:bookmarkStart w:id="15" w:name="P64_1200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"P64_12006"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s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vremenim demokratskim državama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 sudstvo će obezbediti 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vlade mogu pozivati na odgovornost za svoje postupke koji su podložni sudskom nadzoru te će biti odgovorna za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obezbeđivanje ispravne primene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propisno donesenih zakona. 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većoj ili manjoj meri (u zavisnosti od pojedinačnog ustavnog uređenja države), sudstvo se takođe stara da zakoni budu u skladu sa 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vim relevantnim ustavnim odredbama ili višim zakonima, kao što su zakoni E</w:t>
      </w:r>
      <w:r w:rsidR="00B44D8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ropske unije</w:t>
      </w:r>
      <w:bookmarkStart w:id="16" w:name="P65_1265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"P65_12656"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44054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8. 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Značajno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različite 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istorije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kulture i pravne tradicije država članica 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Saveta Evrope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dovele su do različitih „modela” ustavnih struktura koji se, u mnogim slučajevima, nep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restano razvijaju. Globalizaciji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rastući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ut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caj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međunarodnih i e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ropskih organizacija 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neophodne promene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ustavnih struktura pojedinih država članica. Konkretno, odluke ESL</w:t>
      </w:r>
      <w:r w:rsidR="001470E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P-a znatno su 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doprinele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unapređenju zaštite ljudskih prava i 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sudstva i uticale 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ustave država članica. Međutim, svi ti ut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caji </w:t>
      </w:r>
      <w:r w:rsidR="0044054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doveli i do 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pritisaka u odnosima između triju državnih vlasti, posebno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odnosima između 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i druge dv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4405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vlasti.</w:t>
      </w:r>
    </w:p>
    <w:p w:rsidR="00303095" w:rsidRPr="00C5255F" w:rsidRDefault="00303095" w:rsidP="00902B83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9. U načelu, tri vlasti demokratske države</w:t>
      </w:r>
      <w:r w:rsidR="00B9607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trebal</w:t>
      </w:r>
      <w:r w:rsidR="00B960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da su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komplementarne, da nijedna od njih nije „</w:t>
      </w:r>
      <w:r w:rsidR="0088072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vrhovna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</w:t>
      </w:r>
      <w:r w:rsidR="0088072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niti prevladava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nad drugima</w:t>
      </w:r>
      <w:bookmarkStart w:id="17" w:name="P70_1350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"P70_13503"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demokratskoj državi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volja naroda je ta koja na samom kraju,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izražena kroz odgovarajući de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mokratski postupak, jeste vrhovna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(suverenitet naroda). Takođe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pogrešno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erovati da bi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bilo koja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triju državnih vlasti mogla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funkcioniše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potpuno odvojeno od drugih. Tri vlasti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oslanjaju jedna na drugu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kako bi osigurale celovitost javnih usluga potrebnih u demokratskom društvu. Dakle, dok zakonodavna vlast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obezbeđuje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zakonski okvir,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isti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tumačiti i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primenjivati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svojih odluka, a izvršna vlast je </w:t>
      </w:r>
      <w:r w:rsidR="00832B64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često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odgovorna za izvršenje sudskih odluka u interesu društva</w:t>
      </w:r>
      <w:bookmarkStart w:id="18" w:name="P71_1457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"P71_14577"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Na taj način tri vlasti </w:t>
      </w:r>
      <w:r w:rsidR="00832B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funkcionišu u odnosu međuza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visnosti, </w:t>
      </w:r>
      <w:r w:rsidRP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odnosno konvergencije i divergencije.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Prema tome, ne može nikada doći do potpune „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podele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vlasti”</w:t>
      </w:r>
      <w:bookmarkStart w:id="19" w:name="P72_1483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"P72_14832"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Naprotiv,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tri državne vlasti funkcioniš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kao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kočnica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ravnoteža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koji svaku drži odgovornom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interesu društva kao celine.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Prema tome, neophodno 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prihvatiti da je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određeni nivo napetosti neizbežan između vlasti u demokratskoj državi.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 postoji takva „kreativna napetost”,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pokazuje da svaka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 vlasti vrši neophodnu proveru ostalih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time </w:t>
      </w:r>
      <w:r w:rsidR="0073699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doprinosi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održavanju odgovarajuće ravnoteže.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Ukoliko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nema takvih napetosti između tri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vlasti, mogla bi nas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tati sumnja da su jedna ili dv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 vlasti prestale pozivati ostale na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odgovornost u ime društva kao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eline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 da je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taj način jedna ili više vlasti stekla nadmoć nad drugima. Dakle,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činjenicu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napetosti između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i druge dve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 državne vlasti ne mora se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nužno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posmatrati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kao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pretnja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njegovoj nezavisnosti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već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kao znak da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ispunjava svoju ustavnu </w:t>
      </w:r>
      <w:r w:rsidR="00902B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dužnost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pozivanja drugih vlasti na odgovornost u ime društva kao celine.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III. </w:t>
      </w:r>
      <w:r w:rsidR="006B038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Nezavisnost sudstva i podela vlasti</w:t>
      </w:r>
    </w:p>
    <w:p w:rsidR="00810FC8" w:rsidRDefault="00303095" w:rsidP="00810FC8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10.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biti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 kako bi ispunilo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svoju ulogu u odnosu na druge državne vlasti, društvo u celini i strane u sudskim sporovima</w:t>
      </w:r>
      <w:bookmarkStart w:id="20" w:name="P77_1608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"P77_16084"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 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nije isključivo pravo ili povlastica koja im je odobrena u njihovom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sopstvenom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interesu, već u interesu vladavine prava i svih onih koji traže i očekuju pravdu.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sudstva je sredstvo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kojim se osigurava nepristra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nost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Stoga je ona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preduslov garancije da će svi građani (i ostale državne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vlastima)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biti jednaki pred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sudovima</w:t>
      </w:r>
      <w:bookmarkStart w:id="21" w:name="P78_1654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"P78_16540"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suštinski element 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dužnosti da donosi nepristra</w:t>
      </w:r>
      <w:r w:rsidR="00185E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odluke</w:t>
      </w:r>
      <w:bookmarkStart w:id="22" w:name="P79_1669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"P79_16690"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2"/>
      <w:r w:rsidR="00B150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Samo nezavisno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150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delotvorno primeniti prava svih članova društva, posebno onih grupacija koje 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ugrožene ili nepopularne</w:t>
      </w:r>
      <w:bookmarkStart w:id="23" w:name="P80_17056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"P80_17055"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Dakle, ne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visnost je 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osnovni zahtev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koji omogućuje 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štiti demokra</w:t>
      </w:r>
      <w:r w:rsidR="00810FC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iju i ljudska prava</w:t>
      </w:r>
      <w:bookmarkStart w:id="24" w:name="P81_1801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"P81_18018"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 </w:t>
      </w:r>
    </w:p>
    <w:p w:rsidR="00303095" w:rsidRPr="00C5255F" w:rsidRDefault="00303095" w:rsidP="007D035D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11. Načelo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samo je po sebi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garant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 sudstva</w:t>
      </w:r>
      <w:bookmarkStart w:id="25" w:name="P83_18172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"P83_18171"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Međutim,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uprkos često isticanom značaju nezavisnosti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mora se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istaći da nitko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uključujući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ovde i sudstvo –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može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potpunosti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biti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nezavisan od svih uti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caja, </w:t>
      </w:r>
      <w:r w:rsidR="006B14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posebno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socijalnih i kulturnih </w:t>
      </w:r>
      <w:r w:rsidR="00D727E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okviru društva u kojem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eluje.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Ipak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„nijedan čovek nije o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strvo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sasvim sam za sebe”</w:t>
      </w:r>
      <w:bookmarkStart w:id="26" w:name="P84_1859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"P84_18594"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Nijedna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baš kao ni bilo koja druga vlast u demokratskoj državi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nije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potpunosti nezavisna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oslanja na druge da joj osiguraju sredstva i usluge,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posebno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zakonodavnu vlast da osigura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finansije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pravni okvir koji ona mora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tumači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prim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enjuje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Iako je zadatak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rešavanja predmeta u skladu sa zakonom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eren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javnost se oslanja na izvršnu vlast da </w:t>
      </w:r>
      <w:r w:rsidR="00B846A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izvrši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sudske odluke. </w:t>
      </w:r>
      <w:r w:rsidR="000556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Nedostaci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izvršavanju sudskih odluka </w:t>
      </w:r>
      <w:r w:rsidR="000556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podrivaju sudsku vlast i dovode u pitanje podelu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vlasti</w:t>
      </w:r>
      <w:bookmarkStart w:id="27" w:name="P85_1918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"P85_19184"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sve tri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ele odgovornost u pogledu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obezbeđivanja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odgovarajuće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podele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njih, ni to načelo ni načelo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bi trebalo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isključi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dijalog između državnih vlasti. Naprotiv, postoji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osnovna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potreba za pristojnim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razgovorom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svih njih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koji uzima u obzir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kako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potrebnu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podelu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tako 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nužnu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međuzavisnost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vlasti.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Preostaje, međutim, ključno da 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ostane </w:t>
      </w:r>
      <w:r w:rsidR="001725D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slobodno od neprikladnih odnosa i od nedopuštenih uticaja ostalih grana vlasti</w:t>
      </w:r>
      <w:bookmarkStart w:id="28" w:name="P86_1989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"P86_19889"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IV. </w:t>
      </w:r>
      <w:r w:rsidR="001725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Legitimnost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</w:t>
      </w:r>
      <w:r w:rsidR="00B91C9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suds</w:t>
      </w:r>
      <w:r w:rsidR="001725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ke 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vlasti i </w:t>
      </w:r>
      <w:r w:rsidR="001725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njeni 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elemen</w:t>
      </w:r>
      <w:r w:rsidR="001725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ti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A. Važnost </w:t>
      </w:r>
      <w:r w:rsidR="001725D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legitimnosti</w:t>
      </w:r>
    </w:p>
    <w:p w:rsidR="00303095" w:rsidRPr="00C5255F" w:rsidRDefault="00B91C96" w:rsidP="009C6232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12. Svaka od tri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državn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ima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značajna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ovlašćenja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Zakonodavna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 izrađuje zakone i raspod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eljuje državni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budžet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Izvršna vlast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vrši svoja ovlašćenja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čak i u meri upotrebe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fizičke sile (u okviru zakona) kako bi podržala i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provodila zakone određene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zemlje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 samo da oslučuje o pitanjima od suštinskog značaja za građane pojedince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za društvo u celini,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već 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svojim presudama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odlukama utiče</w:t>
      </w:r>
      <w:r w:rsidR="007D035D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na svakodnevne poslove svakog pojedinca koji traži pomoć od sudova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Kako bi ovo mogli da rade, sudijama je dat autoritet i ovlašćenje koji su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>dalekosežni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Takvi autoritet i ovlašćenja se vrše u ime društva kao celine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7D035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Kao posledica, društvo i ostale grane državne vlasti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imaju pravo da budu zadovoljni time što svi kojima su povereni autoritet i ovalšćenja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(odnosno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pojedinačno i zajedno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imaju legitimnan osnov na kojem iste zasnivaju u ime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društva kao celine. U svim modernim demok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ratskim državama barem jedno 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elo zakonodavne vlasti građani države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neposredno </w:t>
      </w:r>
      <w:r w:rsidR="00703A0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biraju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tome je snaga argumenta da zakonodavne i izvršne vlasti koje su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imenovane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neposredno ili posredno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izabrane predstavnike uzivaju „demokratski legitimitet</w:t>
      </w:r>
      <w:r w:rsidR="00703A06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Sasvim je opravdano postaviti pitanje: odakle proizlazi „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</w:t>
      </w:r>
      <w:r w:rsidR="00703A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?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B. Različiti elementi </w:t>
      </w:r>
      <w:r w:rsidR="004C594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legitimnosti sudske 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vlasti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(1) Sud</w:t>
      </w:r>
      <w:r w:rsidR="004C594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ska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vlast kao celina</w:t>
      </w:r>
    </w:p>
    <w:p w:rsidR="00303095" w:rsidRPr="00C5255F" w:rsidRDefault="00E01792" w:rsidP="007A4B9D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13. Sudska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stvorena kao d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ustavnog okvira demokratskih država koje su utemeljene na vladavini prava. Po definiciji, ako je ustavni okvir neke države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legitiman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onda je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osnova sudske vlasti kao dela tog ustava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jednako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legitiman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jednako nužan deo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demokratske države, kao i ostale dve vlasti</w:t>
      </w:r>
      <w:bookmarkStart w:id="29" w:name="P99_2163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"P99_21636"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Sve države članice imaju neki oblik ustava koji je na različite načine (npr. tradicijom ili op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št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im izborima) prihvaćen kao 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legitiman osnov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države. Ustavi svih država članica priznaju i stvaraju (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bilo izričito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prećutno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 ulogu 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koja podržava vladavinu prava </w:t>
      </w:r>
      <w:r w:rsidR="00482AA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182DB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odlučuje u predmetima primenjujući zakon u skladu sa zakonodavstvom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sudskom praksom. Dakle, činjenica da ustav stvara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kako bi vršilo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navedenu ulogu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mora samim tim sudstvu kao celini pružiti legitimitet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Pri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odlučivanju u predmetima,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svaki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pojedinac vrši svoju vlast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kao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deo sudstva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Prema tome, sama činjenica da je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de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ustava države daje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legitimnost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samo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sudstvu kao celini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već i svakom pojedinačnom </w:t>
      </w:r>
      <w:r w:rsidR="007A4B9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(2) Ustavna ili formalna </w:t>
      </w:r>
      <w:r w:rsidR="003A3FF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legitimnost sudija pojedinaca</w:t>
      </w:r>
    </w:p>
    <w:p w:rsidR="00303095" w:rsidRPr="00C5255F" w:rsidRDefault="00303095" w:rsidP="00BA5DC1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14. </w:t>
      </w:r>
      <w:r w:rsidR="004567F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Kako bi vršili sudijsku funkciju koja ima legitimitet poveren ustavom, svaki sudija je potrebno da bude imenovan i na taj način postane deo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Svaki </w:t>
      </w:r>
      <w:r w:rsidR="004567F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koji je imenovan u skladu s ustavom i drugim važećim propisima, time </w:t>
      </w:r>
      <w:r w:rsidR="004567F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stiče svoj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ustavni autoritet i </w:t>
      </w:r>
      <w:r w:rsidR="004567F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Imenovanje u skladu s ustavnim i zakonskim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pravilima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podrazumeva da je time svakom sudiji dat autoritet i odgovarajuća vlast da primenjuje zakon onakav kakav je stvorila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zakonodavna vlast ili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kako su ih protumačile druge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 poverena sudiji pojedincu njegovim imenovanjem u skladu sa ustavom i drugim zakonskim pravilima pojedine države</w:t>
      </w:r>
      <w:r w:rsidR="009F73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stvara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„ustavni ili formalni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92E8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</w:t>
      </w:r>
      <w:r w:rsidR="009F73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tog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ab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br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br/>
        <w:t xml:space="preserve">15. CCJE je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primetio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različite metode imenovanja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državama članicama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Saveta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</w:t>
      </w:r>
      <w:bookmarkStart w:id="30" w:name="P106_23412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"P106_23411"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Oni obuhvataju, na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: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imenovanje koje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provodi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pravosudni savet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neki drugi nezavisan organ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izbor u parlamentu i imenovanje od strane izvršn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vlasti. Kao što je CCJE istaka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o, svaki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 svoje prednosti i nedostatke</w:t>
      </w:r>
      <w:bookmarkStart w:id="31" w:name="P107_23812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"P107_23811"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Može se reći da imenovanje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glasanjem 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parlame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ntu i, u manjoj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eri,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 strane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izvršne vlasti, može </w:t>
      </w:r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biti tumačeno tako da daje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dodatnu demokratsku </w:t>
      </w:r>
      <w:bookmarkStart w:id="32" w:name="P108_23995"/>
      <w:r w:rsidR="00BA5D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</w:t>
      </w:r>
      <w:hyperlink r:id="rId10" w:anchor="P108_23994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33</w:t>
        </w:r>
      </w:hyperlink>
      <w:bookmarkEnd w:id="3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iako te metode imenovanja nose sa sobom rizik od politizacije i </w:t>
      </w:r>
      <w:r w:rsidR="005F1A6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odnosa 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</w:t>
      </w:r>
      <w:r w:rsidR="005F1A6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 tim drugih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</w:t>
      </w:r>
      <w:bookmarkStart w:id="33" w:name="P109_2464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"P109_24642"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A9691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Kako bi se suprotstavilo navedenim rizicima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A9691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CCJE sav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etuje da se svaka odluka koja se odnosi na imenovanje ili karijeru </w:t>
      </w:r>
      <w:r w:rsidR="00A9691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zasniva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objektivnim kriterij</w:t>
      </w:r>
      <w:r w:rsidR="00A9691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umima i da je donos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A9691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nezavisni organ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da bude podvrgnuta garancijama koje bi obezbedile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se donosi isključivo na 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osnovu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takvih kriterij</w:t>
      </w:r>
      <w:bookmarkStart w:id="34" w:name="P110_24986"/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uma</w:t>
      </w:r>
      <w:hyperlink r:id="rId11" w:anchor="P110_2498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35</w:t>
        </w:r>
      </w:hyperlink>
      <w:bookmarkEnd w:id="3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CCJE takođe preporučuje 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učestvovanje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zavisnog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organa sa značajnom reprezentativnošću koji su sudije demokratski izabrale u odlučivanju koje se tiče imenovanja ili napredovanja sudija</w:t>
      </w:r>
      <w:bookmarkStart w:id="35" w:name="P111_2524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"P111_25247"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Ustavna 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 sudija pojedinaca koji imaju sigurnost mandata ne sme biti potcenjena zakonodavnim ili izvršnim merama nastalim kao posled</w:t>
      </w:r>
      <w:r w:rsidR="008D70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ica pro</w:t>
      </w:r>
      <w:r w:rsidR="0078344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mena u političkoj vlasti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 </w:t>
      </w:r>
    </w:p>
    <w:p w:rsidR="00303095" w:rsidRPr="00C5255F" w:rsidRDefault="00B13066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(3) Funkcionalni</w:t>
      </w:r>
      <w:r w:rsidR="00303095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</w:t>
      </w:r>
      <w:r w:rsidR="006C08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legitim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itet</w:t>
      </w:r>
      <w:r w:rsidR="006C083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sudija pojedinaca</w:t>
      </w:r>
    </w:p>
    <w:p w:rsidR="00DB237B" w:rsidRDefault="00303095" w:rsidP="001337B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16. Imenovanje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skladu s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ustavom i zakonima države, ostvarivanje ustavne uloge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u odlučivanju u predmetima u skladu sa zakonskim okvirom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koji je uspostavila zakonodavna vlast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 nužnost da se svaki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obveže da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radi poštujući utvrđena zakonska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pravila o ponašanju,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sve to </w:t>
      </w:r>
      <w:r w:rsidR="00BE60B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daje </w:t>
      </w:r>
      <w:r w:rsidR="005C73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početnu legitimnost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Ali</w:t>
      </w:r>
      <w:r w:rsidR="00B758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legitimnost se ne</w:t>
      </w:r>
      <w:r w:rsidR="00B0432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može zaustaviti</w:t>
      </w:r>
      <w:r w:rsidR="00B758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tome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Kao što </w:t>
      </w:r>
      <w:r w:rsidR="006836B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CCJE prethodno istaknuo,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erenje javnost</w:t>
      </w:r>
      <w:r w:rsidR="006836B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i njihovo poštovanje prema sudstvu su garancije </w:t>
      </w:r>
      <w:r w:rsidR="003E1D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delotvornosti</w:t>
      </w:r>
      <w:r w:rsidR="006836B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sudskog sistema</w:t>
      </w:r>
      <w:bookmarkStart w:id="36" w:name="P116_2709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"P116_27098"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DB23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pojedinac i sudstvo kao celina mogu postići i neprestano održavati legitimitet samo sticanjem i održavanjem poverenja javnosti.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Ova druga vrsta </w:t>
      </w:r>
      <w:r w:rsidR="003D16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legitimnosti može se nazvati „funkcionalni 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”. </w:t>
      </w:r>
    </w:p>
    <w:p w:rsidR="00303095" w:rsidRPr="00C5255F" w:rsidRDefault="00303095" w:rsidP="00312B81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17. „Funkcionaln</w:t>
      </w:r>
      <w:r w:rsidR="00B1306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1306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</w:t>
      </w:r>
      <w:r w:rsidR="00312B8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zaslužiti radom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najišeg mogućeg kvaliteta koji poštuje visoke etičke standarde.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svojim prethodnim Mišljenjima CCJE </w:t>
      </w:r>
      <w:r w:rsidR="00312B81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razmatrao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različite aspekte dobrog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sudijskog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rada i načine od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ržavanja i poboljšanja kvaliteta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efikasnosti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interesu društva. CCJE je tako oblikovao više Mišljenja 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različitim načinima postizanja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pomenutog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odnosno o početnoj i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kontinuiranoj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obuci sud</w:t>
      </w:r>
      <w:bookmarkStart w:id="37" w:name="P118_27855"/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hyperlink r:id="rId12" w:anchor="P118_27854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38</w:t>
        </w:r>
      </w:hyperlink>
      <w:bookmarkEnd w:id="3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pravičnom suđenju u razumnom roku</w:t>
      </w:r>
      <w:bookmarkStart w:id="38" w:name="P119_2793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"P119_27934"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delotvornoj primeni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međunarodnog i e</w:t>
      </w:r>
      <w:r w:rsidR="00312B8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ropskog prava</w:t>
      </w:r>
      <w:bookmarkStart w:id="39" w:name="P120_2803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"P120_28032"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3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pravosudnim savetima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službi društva</w:t>
      </w:r>
      <w:bookmarkStart w:id="40" w:name="P121_2811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"P121_28114"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kvalitet</w:t>
      </w:r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sudskih odluka</w:t>
      </w:r>
      <w:bookmarkStart w:id="41" w:name="P122_2818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"P122_28184"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delotvornom izvršenju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sudskih odluka</w:t>
      </w:r>
      <w:bookmarkStart w:id="42" w:name="P123_2826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"P123_28267"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2"/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informacionim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tehnologijama</w:t>
      </w:r>
      <w:bookmarkStart w:id="43" w:name="P124_28342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"P124_28341"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specijalizaciji sud</w:t>
      </w:r>
      <w:bookmarkStart w:id="44" w:name="P125_28411"/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hyperlink r:id="rId13" w:anchor="P125_28410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45</w:t>
        </w:r>
      </w:hyperlink>
      <w:bookmarkEnd w:id="4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i vrednovanju sud</w:t>
      </w:r>
      <w:bookmarkStart w:id="45" w:name="P126_28476"/>
      <w:r w:rsidR="005345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hyperlink r:id="rId14" w:anchor="P126_2847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46</w:t>
        </w:r>
      </w:hyperlink>
      <w:bookmarkEnd w:id="4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P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CCJE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se izjasnio da,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cilj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pružanja sudskih usluga visokog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kvalit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eta, sudska vlast mora takođe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odgovarajući način s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rađivati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Pr="00C5255F">
        <w:rPr>
          <w:rFonts w:ascii="Cambria Math" w:eastAsia="Times New Roman" w:hAnsi="Cambria Math" w:cs="Cambria Math"/>
          <w:color w:val="000000"/>
          <w:sz w:val="16"/>
          <w:szCs w:val="16"/>
          <w:lang w:val="sr-Latn-CS"/>
        </w:rPr>
        <w:t>​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s</w:t>
      </w:r>
      <w:r w:rsidR="006D1287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 xml:space="preserve"> tuži</w:t>
      </w:r>
      <w:bookmarkStart w:id="46" w:name="P127_28673"/>
      <w:r w:rsidR="006D1287">
        <w:rPr>
          <w:rFonts w:ascii="Verdana" w:eastAsia="Times New Roman" w:hAnsi="Verdana" w:cs="Verdana"/>
          <w:color w:val="000000"/>
          <w:sz w:val="16"/>
          <w:szCs w:val="16"/>
          <w:lang w:val="sr-Latn-CS"/>
        </w:rPr>
        <w:t>ocima</w:t>
      </w:r>
      <w:hyperlink r:id="rId15" w:anchor="P127_28672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47</w:t>
        </w:r>
      </w:hyperlink>
      <w:bookmarkEnd w:id="4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i </w:t>
      </w:r>
      <w:bookmarkStart w:id="47" w:name="P128_28732"/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advokatima</w:t>
      </w:r>
      <w:hyperlink r:id="rId16" w:anchor="P128_28731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48</w:t>
        </w:r>
      </w:hyperlink>
      <w:bookmarkEnd w:id="4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Prim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enom ovih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načela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pojedinci, a i sudstvo kao celina bi trebalo da dostignu opšti cilj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donošenja presuda najveće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moguće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kvalitet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skladu s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visokim etičkim standardima.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pojedinci i sudstvo u celini će očuvati legitimitet i potovanje svojih građana svojom efikasnošču i kvalitetom svoga rada.</w:t>
      </w:r>
    </w:p>
    <w:p w:rsidR="00303095" w:rsidRPr="00C5255F" w:rsidRDefault="00303095" w:rsidP="006D128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18.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moraju ispuniti svoje dužnosti u skladu sa odredbama predviđenim disciplinskim i procesnim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propisima</w:t>
      </w:r>
      <w:bookmarkStart w:id="48" w:name="P131_2921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"P131_29214"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i (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naravno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krivičnom zakoniku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Ovlašćenja sudije su povezani sa vr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ednostima istine, pravde, poštenja i slobode.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Prema tome, sudije moraju da obavljaju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svoje dužnosti u skladu s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najvišim standardima profesionalnog ponašanja</w:t>
      </w:r>
      <w:bookmarkStart w:id="49" w:name="P132_2957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"P132_29578"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4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svom Mišljenju br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(2002)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CCJE je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razmatrao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takve standarde i načela profesionalnog ponašanja</w:t>
      </w:r>
      <w:bookmarkStart w:id="50" w:name="P133_2973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"P133_29738"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Rad u okviru tih načela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omogućava da se obezbedi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legitimitet sudija pojedinaca,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koji su d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</w:t>
      </w:r>
      <w:r w:rsidR="006D128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kao celine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B53ED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19. Kao i sve druge vlasti, </w:t>
      </w:r>
      <w:r w:rsidR="003B53E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takođe mora da zasluži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B53E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poverenje i sigurnost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javnosti </w:t>
      </w:r>
      <w:r w:rsidR="003B53E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tako što će društvu i drugim granama vlasti biti odgovorno</w:t>
      </w:r>
      <w:bookmarkStart w:id="51" w:name="P136_3006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"P136_30067"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3B53E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Prema tome, neophodno je ispitati zašto i kako sudska vlast i sudije pojedinci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moraju biti odgovorni prema društvu.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V. Odgovornost sud</w:t>
      </w:r>
      <w:r w:rsidR="00E410D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ske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vlasti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A. Zašto je odgovornost važna?</w:t>
      </w:r>
    </w:p>
    <w:p w:rsidR="00303095" w:rsidRPr="00C5255F" w:rsidRDefault="009F49F5" w:rsidP="00CD2252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20. Tokom proteklih godina,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javne službe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postale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otvorenije i prihvatile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moraju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pruže potpuna objašnjenja svog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rada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javnosti kojoj služe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Kao posledica toga, pojam odgovornosti javnosti postaje sve važniji u javnom životu</w:t>
      </w:r>
      <w:bookmarkStart w:id="52" w:name="P143_3074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"P143_30740"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2"/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Javni organ će biti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„odgovor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n”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pruži objašnjenja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svojih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postup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i, što je jednako važno, preuzme odgovornost za njih.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„odgovornost” jednako je važna za sud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stvo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oliko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za ostale državne vlasti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jer je, kao i one, tu da služi javnosti</w:t>
      </w:r>
      <w:bookmarkStart w:id="53" w:name="P144_3125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"P144_31256"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Št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više,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 pretpostavkom da se pažljiva ravnoteža održava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dva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načela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sudske nezavisnosti i odgovornosti nisu nepomirljive suprotnosti.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kontekstu sudstva,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„odgovornost” </w:t>
      </w:r>
      <w:r w:rsidR="000C4CE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 mora razumeti tako da postoji obaveza izveštavanja, to jest: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pružanje razloga i objašnjavanje odluka i ponašanja u vezi sa slučajevima o kojima sudije odlučuju.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„Odgovornost” ne znači da je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odgovorno ili podređeno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drugoj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jer bi se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taj način izdala njena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ustavna uloga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nezavisnog tela naroda,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čija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 funkcija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odlučuje o predmetima nepristrasno i u skladu sa zakonom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Kad bi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bilo „odgovorno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drugoj grani vlasti u smislu da je odgovorno ili podređeno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njima, onda </w:t>
      </w:r>
      <w:r w:rsidR="00CC01F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kada predmeti uključuju druge dve grane vlasti, sudstvo ne bi moglo da ispuni svoju ustavnu ulogu na način na koji je napred objašnjeno. 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21. </w:t>
      </w:r>
      <w:r w:rsidR="00CD225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(kao i ostale dve </w:t>
      </w:r>
      <w:r w:rsidR="00CD225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vlasti) pruža javnu uslugu.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Nesumnjivo je da bi trebalo da odgovara (na način napred opisan) društvu kojem služi.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Sudska vlast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 mora vršiti u interesu vladavine prava i onih koji traže i očekuju pravdu</w:t>
      </w:r>
      <w:bookmarkStart w:id="54" w:name="P147_3260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"P147_32599"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Dakle,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se susreće sa odgovornošću da drugim granama vlasti i društvu u celini pokaže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načine primene svoje vlasti, autoriteta i ne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isnosti</w:t>
      </w:r>
      <w:bookmarkStart w:id="55" w:name="P148_3284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"P148_32846"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Postoje povećana potreba korisnika sudova za efikasnijim sistemom sudova. Bolji pristup sudovima sve više dobija na važnosti</w:t>
      </w:r>
      <w:bookmarkStart w:id="56" w:name="P149_3303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"P149_33030"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Efikasnost i dostupnost su aspekti kojima se dokazuje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„odgovornost”. CCJE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ove trendove i ranije prepoznao. Navodeći 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="00E977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trebalo da pruža pravdu najvišeg kvaliteta, kao i odgovarajuće odgovornosti u demokratskom društvu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CCJE je istak</w:t>
      </w:r>
      <w:r w:rsidR="00675D2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jedan aspekt </w:t>
      </w:r>
      <w:r w:rsidR="00675D2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pružanja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 „odgovornosti” prema društvu u celini</w:t>
      </w:r>
      <w:bookmarkStart w:id="57" w:name="P150_3345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"P150_33450"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520EC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346D0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22.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Postoje i drugi razlozi zbog kojih bi </w:t>
      </w:r>
      <w:r w:rsidR="00346D0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sudska vlast trebalo da bude odgovorna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drugim </w:t>
      </w:r>
      <w:r w:rsidR="00346D0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granama vlasti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prethodno navedenom smislu. Prvo, zakonodavna vlast </w:t>
      </w:r>
      <w:r w:rsidR="00346D09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 koja stvara zakonodavni okvir koji </w:t>
      </w:r>
      <w:r w:rsidR="00346D0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enjuje. </w:t>
      </w:r>
      <w:r w:rsidR="00350F6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50F6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zakonodavna vlast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ima pravo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uvid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osnovu pravilno iskazanih objašnjenja u odlukama, u načun na koji sudstvo tumači i primenjuje zakone koje je usvojila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Drugo, za ispunjavanje svojih dužnosti prema društvu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dobija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finan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ijska sredstva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odluke zakonodavne vlasti 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u mnogim državama članicama,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odluke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izvršne vlasti. Kao što je CCJE prethodno naglasio,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opšta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načela i standardi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Saveta Evrope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nameću državama članicama ob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vezu da </w:t>
      </w:r>
      <w:r w:rsidR="00520EC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finan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520EC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ijska sredstva </w:t>
      </w:r>
      <w:r w:rsidR="00520E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koja odgovaraju potrebama različitim sudskim sistemima istima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stave na raspolaganje</w:t>
      </w:r>
      <w:bookmarkStart w:id="58" w:name="P153_3432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"P153_34326"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5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Iz odgovora na upitnik CCJE-a jasno </w:t>
      </w:r>
      <w:r w:rsidR="005E62E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 vidl da se </w:t>
      </w:r>
      <w:r w:rsidR="003B54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administrativna</w:t>
      </w:r>
      <w:r w:rsidR="005E62E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finans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ijska autonomija </w:t>
      </w:r>
      <w:r w:rsidR="005E62E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sudskih sistema znatno razlikuje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5E62E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državama članicama. CCJE je preporučio </w:t>
      </w:r>
      <w:r w:rsidR="00A32D7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se poveća </w:t>
      </w:r>
      <w:r w:rsidR="003B54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administrativna</w:t>
      </w:r>
      <w:r w:rsidR="00A32D7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finansijska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A32D7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samostalnost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sudova kako bi se zaštitila ne</w:t>
      </w:r>
      <w:r w:rsidR="00A32D7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visnost </w:t>
      </w:r>
      <w:bookmarkStart w:id="59" w:name="P154_34790"/>
      <w:r w:rsidR="00A32D7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hyperlink r:id="rId17" w:anchor="P154_34789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60</w:t>
        </w:r>
      </w:hyperlink>
      <w:bookmarkEnd w:id="5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Međutim, bez obzira na način </w:t>
      </w:r>
      <w:r w:rsidR="00B02FD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koji je organizovan budžetski i administrativni nadzor sudstva u pojedinačnoj državi,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sredstva</w:t>
      </w:r>
      <w:r w:rsidR="00B02FD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dod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eljuje parlament a</w:t>
      </w:r>
      <w:r w:rsidR="00B02FD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on, u krajnjoj liniji, dolazi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 pore</w:t>
      </w:r>
      <w:r w:rsidR="00B02FD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h obveznika. Dakle,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upravo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kao što su zakonodavna i izvršna vlast odgovorne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za način na koji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raspodeljuju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sredstva, tako i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odgovarati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društvu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način na koji troši finan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ijska sredstva koja su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mu dod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eljena za ispunjavanje </w:t>
      </w:r>
      <w:r w:rsidR="008A46B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svojih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dužnosti prema društvu</w:t>
      </w:r>
      <w:bookmarkStart w:id="60" w:name="P155_3535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"P155_35350"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1F44D8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B. Kako bi trebalo da se sprovede</w:t>
      </w:r>
      <w:r w:rsidR="00303095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odgovornost?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(1) Za št</w:t>
      </w:r>
      <w:r w:rsidR="001F44D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bi </w:t>
      </w:r>
      <w:r w:rsidR="001F44D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sudstvo trebalo da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</w:t>
      </w:r>
      <w:r w:rsidR="001F44D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bude odgovorno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?</w:t>
      </w:r>
    </w:p>
    <w:p w:rsidR="00303095" w:rsidRPr="00C5255F" w:rsidRDefault="00303095" w:rsidP="00CA09A8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23. </w:t>
      </w:r>
      <w:r w:rsidR="00BD785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Pravosuđe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 za cil</w:t>
      </w:r>
      <w:r w:rsidR="00BD785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 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ešavanje sporova </w:t>
      </w:r>
      <w:r w:rsidR="00BD785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odlukama koje donosi, </w:t>
      </w:r>
      <w:r w:rsidR="00BD785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ispunjava i „normativnu” i „edukativnu” ulogu, pružajući građanima relevantne smernice, informacije i </w:t>
      </w:r>
      <w:r w:rsidR="00BD785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garancije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pogledu zakona i njegove praktične primene</w:t>
      </w:r>
      <w:bookmarkStart w:id="61" w:name="P162_3585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"P162_35856"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353DF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tome, prvo i najvažnije, sudstvo mora da bude odgovorno kroz rad sudija 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pogledu don</w:t>
      </w:r>
      <w:r w:rsidR="00353DF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ošenja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odluka </w:t>
      </w:r>
      <w:r w:rsidR="00353DF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predmetima u kojima postupaju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preciznije, </w:t>
      </w:r>
      <w:r w:rsidR="00353DF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njihove odluke i obrazloženja za iste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Sudske odluke moraju biti </w:t>
      </w:r>
      <w:r w:rsidR="00F242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dostupne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kontroli i žalbi</w:t>
      </w:r>
      <w:bookmarkStart w:id="62" w:name="P163_3616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"P163_36168"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2"/>
      <w:r w:rsidR="00F242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Ovo se može nazvati „sudskom odgovornošću“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P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skladu s</w:t>
      </w:r>
      <w:r w:rsidR="00F77C45" w:rsidRP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F77C45" w:rsidRP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osnovnim</w:t>
      </w:r>
      <w:r w:rsidR="00F77C4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načelom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sistem žalbi 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načelu jedini način na koji sudska odlu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 može biti poništena ili izm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enjena nakon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njenog donošenja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jedini način na koji se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mogu pozivati na odgovornost za svoje odluke, osim ako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 postupale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</w:t>
      </w:r>
      <w:r w:rsidR="00CA09A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lošoj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veri.</w:t>
      </w:r>
    </w:p>
    <w:p w:rsidR="00303095" w:rsidRPr="00C5255F" w:rsidRDefault="00303095" w:rsidP="002356C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24. U zemljama u kojima su </w:t>
      </w:r>
      <w:r w:rsidR="00D26E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odgovorne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upravljanje sudskim </w:t>
      </w:r>
      <w:r w:rsidR="00D26E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sistemom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(što ponekad uključuje upravljanje sudskim </w:t>
      </w:r>
      <w:r w:rsidR="00D26E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budžetom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), </w:t>
      </w:r>
      <w:r w:rsidR="00D26E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za svoje upravljanje 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odgovara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drugim državni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 vlastima i društvu u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elini</w:t>
      </w:r>
      <w:bookmarkStart w:id="63" w:name="P166_3697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"P166_36974"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3"/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ovoj oblasti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kojima je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ereno upravljanje javnim sredstvima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načelu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ist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 položaju kao i bilo koji drugi javni organ koji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odgovor</w:t>
      </w:r>
      <w:r w:rsidR="002356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an za trošenje novca poresk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ih obveznika.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4E4F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(2)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Kome </w:t>
      </w:r>
      <w:r w:rsidR="004E4F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bi sudije trebalo da budu odgovorne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?</w:t>
      </w:r>
    </w:p>
    <w:p w:rsidR="00303095" w:rsidRPr="00C5255F" w:rsidRDefault="00303095" w:rsidP="00EE112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25. </w:t>
      </w:r>
      <w:r w:rsidR="004E4FC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pojedinci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4E4FC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celini odgovorni su na </w:t>
      </w:r>
      <w:r w:rsidR="004E4FC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dva nivoa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Prvo, oni su odgovorni (u gore navedenom smislu) prema stranama u sporu koje traže pravdu u okviru određenog sudskog postupka. Drugo, oni su odgovorni (u istom smislu) prema drugim </w:t>
      </w:r>
      <w:r w:rsidR="00CF2E3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granama vlasti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i,</w:t>
      </w:r>
      <w:r w:rsidR="00CF2E3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preko njih, prema društvu u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elini.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(3) Na koji način se to </w:t>
      </w:r>
      <w:r w:rsidR="00EA005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provodi?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(a) Različiti elementi odgovornosti</w:t>
      </w:r>
    </w:p>
    <w:p w:rsidR="00303095" w:rsidRPr="00C5255F" w:rsidRDefault="00303095" w:rsidP="00FA5999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26. Postoje različiti oblici odgovornosti. Prvo, kao što je gore objašnjeno,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se pozivaju na odgovornost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svoje odluke putem žalbenog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postupka („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odgovornost”). Drugo,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rade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transparentan način. Održavajući javna </w:t>
      </w:r>
      <w:r w:rsidR="001767B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ročišta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donoseći obrazložene presude koje su dostupne javnosti (osim u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vanrednim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okolnostima),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će objasniti svoje postupke i svoje odluke stranama u sporu koje traže pravdu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a sudija tako pruža na odgovornost svoje radnje drugim granama vlasti i društvu u celini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Ovaj oblik odgovornosti može se opisati kao „odgovornost objašnjavanja”. Treće, ako je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preduzeo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neprimerene radnje, on/ona mora biti pozvan na odgovornost na rigorozniji način, n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primenu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disciplinskih postupaka i, po potrebi,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krivičnog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zakona. </w:t>
      </w:r>
      <w:r w:rsidR="00901C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Ovo se može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nazvati „kaznenom odgovornošću”.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(b) Odgovornost obrazlaganja odluka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(i)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Javna </w:t>
      </w:r>
      <w:r w:rsidR="001767B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ročišta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i presude</w:t>
      </w:r>
    </w:p>
    <w:p w:rsidR="00303095" w:rsidRPr="00C5255F" w:rsidRDefault="00303095" w:rsidP="00D9657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27. </w:t>
      </w:r>
      <w:r w:rsidR="00707BD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07BD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načela rada sudstva, kao što je zaht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ev za održavanjem javnih </w:t>
      </w:r>
      <w:r w:rsidR="00707BD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ročišta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donošenja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obrazloženih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presuda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dostupnih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javnosti, zasnivaju se na načelu prema kojem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moraju odgovarati za svoje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ophođenje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odluke.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javnim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ročištima, sudije saslušavaju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izjave strana u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postupku i sv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edoka kao i izlaganja </w:t>
      </w:r>
      <w:r w:rsidR="003736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advokata</w:t>
      </w:r>
      <w:r w:rsidR="00382D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Sudije će (obično) javno objasniti zakon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Javnost može prisustvovati javnim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ročištima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sudu kako bi se bolje upoznala sa zakonima i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ophođenjem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(ili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sudijâ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 prema stranama u sporu</w:t>
      </w:r>
      <w:bookmarkStart w:id="64" w:name="P183_39268"/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pred sudom</w:t>
      </w:r>
      <w:hyperlink r:id="rId18" w:anchor="P183_39267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65</w:t>
        </w:r>
      </w:hyperlink>
      <w:bookmarkEnd w:id="6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Ova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javnost postup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osigurava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fer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suđenje u skladu s član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 6 Ev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ropske konvencije za zaštitu ljudskih prava i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osnovnih sloboda. Šta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više,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prisustvovanjem ročištima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(ili, u nekim državama, praćenjem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ročišta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televizijskom programu</w:t>
      </w:r>
      <w:bookmarkStart w:id="65" w:name="P184_3976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"P184_39768"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ili putem interneta) te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izveštaje sa ročišta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javnost ima mogućnost 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bolje razume sudsk</w:t>
      </w:r>
      <w:r w:rsidR="007957E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postup</w:t>
      </w:r>
      <w:r w:rsidR="007957E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4F64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Na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ovaj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način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sudije i sudstvo u celini 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pozivaju na odgovornost.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Dok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formalna pravila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postupka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važna za poverenje javnosti u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praktična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iskustva građana koji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posmatraju sudstvo na delu 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dostupnost t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čnih informacija objavljenih u medijima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vođenju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pojedinačnih postupaka, </w:t>
      </w:r>
      <w:bookmarkStart w:id="66" w:name="P185_40399"/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 odlučujućeg </w:t>
      </w:r>
      <w:r w:rsidR="00D9657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</w:t>
      </w:r>
      <w:r w:rsidR="0015421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značaja</w:t>
      </w:r>
      <w:hyperlink r:id="rId19" w:anchor="P185_40398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67</w:t>
        </w:r>
      </w:hyperlink>
      <w:bookmarkEnd w:id="6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11142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28. </w:t>
      </w:r>
      <w:r w:rsidR="00B222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moraju </w:t>
      </w:r>
      <w:r w:rsidR="00B222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obrazložiti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svoje odluke, koje bi trebale </w:t>
      </w:r>
      <w:r w:rsidR="008D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budu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dostupne</w:t>
      </w:r>
      <w:r w:rsidR="008D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osim u </w:t>
      </w:r>
      <w:r w:rsidR="008D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posebnim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okolnostima. Na taj način</w:t>
      </w:r>
      <w:r w:rsidR="00017D1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snose odgovornost za svoje odluke i omogućuju</w:t>
      </w:r>
      <w:r w:rsidR="00017D1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stranama u sporu i društvu u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elini da shvate i </w:t>
      </w:r>
      <w:r w:rsidR="00017D1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preispitaju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njihovo </w:t>
      </w:r>
      <w:r w:rsidR="00017D1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obrazloženje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1114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tome, odluke moreju biti lako razumljive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što je CCJE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>prethodno naveo</w:t>
      </w:r>
      <w:bookmarkStart w:id="67" w:name="P188_4100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"P188_41004"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slučaju </w:t>
      </w:r>
      <w:r w:rsidR="001114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kojem se stranka koja je izgubila spor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slaže s odlukom, može pod</w:t>
      </w:r>
      <w:r w:rsidR="001114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žalbu. Postojanje (pa čak i pretnja) </w:t>
      </w:r>
      <w:r w:rsidR="001114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sistema žalbe bi trebalo da osigura visok standard sudijskih odluka donetih u razumnom roku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98574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u interesu strana u sporu, ali i društva u celini. U predmetu u kojem odluka nije done</w:t>
      </w:r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u razumnom roku</w:t>
      </w:r>
      <w:bookmarkStart w:id="68" w:name="P189_4144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"P189_41447"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8"/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mogu se </w:t>
      </w:r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zahtevati posebni pravni l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ekovi, po </w:t>
      </w:r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mogućnošću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lokalnim sudovima ili, ako takvi lekovi nisu</w:t>
      </w:r>
      <w:r w:rsidR="008B3B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dostupni, pri Evropskom sudu za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ljudska prava. </w:t>
      </w:r>
      <w:r w:rsidR="00612D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Pošto je dužnost sudije ispunjena i odluka doneta, javni interes zaht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eva da se ona brzo i </w:t>
      </w:r>
      <w:r w:rsidR="00612D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efikasno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izvrši</w:t>
      </w:r>
      <w:bookmarkStart w:id="69" w:name="P190_4176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"P190_41763"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6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tom pogledu, </w:t>
      </w:r>
      <w:r w:rsidR="00612D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se česno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oslanja na izvršnu vlast da </w:t>
      </w:r>
      <w:r w:rsidR="00612D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provede n</w:t>
      </w:r>
      <w:r w:rsidR="00612D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ene odluke.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(ii) Drugi mehanizmi odgovornosti obrazlaganja</w:t>
      </w:r>
    </w:p>
    <w:p w:rsidR="00303095" w:rsidRPr="00C5255F" w:rsidRDefault="00303095" w:rsidP="000A629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29. Postoji nekoliko drugih načina da se </w:t>
      </w:r>
      <w:r w:rsidR="003B3C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pozi</w:t>
      </w:r>
      <w:r w:rsidR="003B3C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va na odgovornost za svoj rad i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 potrebi</w:t>
      </w:r>
      <w:r w:rsidR="003B3C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upravljanje </w:t>
      </w:r>
      <w:r w:rsidR="003B3C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sistemom deljenja pravde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8E3E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="003B3C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 načini ne smeju nikada da budu zloupotrebljeni od strane drugih grana vlasti da se umešaju u rad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Jedan očigledan način izvan je okvira </w:t>
      </w:r>
      <w:r w:rsidR="008E3E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: </w:t>
      </w:r>
      <w:r w:rsidR="008E3E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8E3ED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godišnji izveštaji koji su dostupni opštoj javnosti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Ostale </w:t>
      </w:r>
      <w:r w:rsidR="00A67C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spoljnje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metode kojima se </w:t>
      </w:r>
      <w:r w:rsidR="00A67C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pozivati na odgovornost su: revizije koje </w:t>
      </w:r>
      <w:r w:rsidR="00A67C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provode javni revizorski odbor,</w:t>
      </w:r>
      <w:r w:rsidR="00A67C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inspektorat</w:t>
      </w:r>
      <w:bookmarkStart w:id="70" w:name="P195_42526"/>
      <w:r w:rsidR="00A67C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hyperlink r:id="rId20" w:anchor="P195_4252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71</w:t>
        </w:r>
      </w:hyperlink>
      <w:bookmarkEnd w:id="70"/>
      <w:r w:rsidR="00D936A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istrage. Na lokalnom ili nacionalnom nivou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mnoge države članice </w:t>
      </w:r>
      <w:r w:rsidR="00D936A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uspostavile instituciju „</w:t>
      </w:r>
      <w:r w:rsidR="00D936A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ombudsmana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”, </w:t>
      </w:r>
      <w:r w:rsidR="00D936A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javnih ili građanskih advokata ili medijatora,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te glavnih inspektora, koje imenuje izvršna vlast ili parlament, često uz značajan </w:t>
      </w:r>
      <w:r w:rsidR="00D936A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stepen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samostalnosti. </w:t>
      </w:r>
      <w:r w:rsidR="000A629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Njihov rad 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često odnosi na pozivanje </w:t>
      </w:r>
      <w:r w:rsidR="000A629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odgovornost. (Pitanje kako postići pravilnu ravnotežu između nužnog izveštavanja i </w:t>
      </w:r>
      <w:r w:rsidR="000A629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spoljnjeg mešanja u rad biće raspravljano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poglavlju VI u nastavku).</w:t>
      </w:r>
    </w:p>
    <w:p w:rsidR="00303095" w:rsidRPr="00C5255F" w:rsidRDefault="00303095" w:rsidP="00C34C15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30. Drugi načini su interni: vrednovanje </w:t>
      </w:r>
      <w:r w:rsidR="00F219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većini država članica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podležu nekom obliku pojedinačnog vrednovanja u određenom trenutku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njihovim karijerama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 imenovanju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Vrednovanje može biti korisno sredstvo za pozivanje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odgovornost.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Kao što je CCJE objasnio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pojedinačno vrednovanje rada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pomogne u dobijanju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informacija o sposobnostima </w:t>
      </w:r>
      <w:r w:rsidR="00440E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pojedinaca i o prednostima i slabostima sudskog sistema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Vrednovanje može pomoći </w:t>
      </w:r>
      <w:r w:rsidR="00454B6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pronađu najbolji kandidati za napredovanje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čime se održ</w:t>
      </w:r>
      <w:r w:rsidR="00454B6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ava ili čak poboljšava kvalitet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54B6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sudskog sistema</w:t>
      </w:r>
      <w:bookmarkStart w:id="71" w:name="P198_43736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"P198_43735"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Vrednovanje se ne s</w:t>
      </w:r>
      <w:r w:rsidR="004225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 zloupotr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ebiti, n</w:t>
      </w:r>
      <w:r w:rsidR="004225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</w:t>
      </w:r>
      <w:r w:rsidR="004225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stvaranje političkog pritiska </w:t>
      </w:r>
      <w:r w:rsidR="004225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pojedinačnog sudiju ili za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dovođenje pojedinačnih presuda u pitanje.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(iii) Dijalog s</w:t>
      </w:r>
      <w:r w:rsidR="006246F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</w:t>
      </w:r>
      <w:r w:rsidR="006246F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drugim granama vlasti</w:t>
      </w:r>
    </w:p>
    <w:p w:rsidR="00303095" w:rsidRPr="00C5255F" w:rsidRDefault="00303095" w:rsidP="00D255B5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31. Svak</w:t>
      </w:r>
      <w:r w:rsidR="006246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od tri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246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</w:t>
      </w:r>
      <w:r w:rsidR="006246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zavisi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="006246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246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preostale dve kako bi mogla da delotvorno funkcioniše.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Diskusija</w:t>
      </w:r>
      <w:r w:rsidR="004460F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svih je neophod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</w:t>
      </w:r>
      <w:r w:rsidR="004460F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460F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kako bi se unapredila delotvornost svake grane vlasti i njena saradnja sa preostale dve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Pod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uslovom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se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takva diskusija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odvija u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ambijentu međusobnog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poštovanja i da se posebna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pažnja posvećuje očuvanju nezavisnosti i nepristrasnosti svih sudija koje učestvuju u ovakvoj razmeni</w:t>
      </w:r>
      <w:bookmarkStart w:id="72" w:name="P203_4436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"P203_44368"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takve rasprave će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biti korisne za sve tri </w:t>
      </w:r>
      <w:r w:rsidR="00F868B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</w:t>
      </w:r>
      <w:bookmarkStart w:id="73" w:name="P204_4451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"P204_44518"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CCJE je naglasio </w:t>
      </w:r>
      <w:r w:rsidR="002A0A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važnost da </w:t>
      </w:r>
      <w:r w:rsidR="002A0A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učestvuju u debatama koje se tiču nacionalne sudske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politike. </w:t>
      </w:r>
      <w:r w:rsidR="002A0A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Pored toga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2A0A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bi trebalo da bude konsultovano i da preuzme aktivnu ulogu u pripremi svih zakona koji se tiču njegovog statusa i funkcionisanja sudskog sistema</w:t>
      </w:r>
      <w:bookmarkStart w:id="74" w:name="P205_4499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"P205_44994"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Stručnost </w:t>
      </w:r>
      <w:r w:rsidR="00A053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je takođe značajna kada se radi o pitanjima izvan sudske politike. Na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er, </w:t>
      </w:r>
      <w:r w:rsidR="00A053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pružajući dokaze parlamentarnim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odborima, predstavnici </w:t>
      </w:r>
      <w:r w:rsidR="00A053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(n</w:t>
      </w:r>
      <w:r w:rsidR="00A053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</w:t>
      </w:r>
      <w:r w:rsidR="00A053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imer</w:t>
      </w:r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najviše </w:t>
      </w:r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sudsko telo ili visoki pravosudni savet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 mogu izraziti zabrinutosti u pogledu zakonodavnih projekata i </w:t>
      </w:r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preneti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stav </w:t>
      </w:r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različitim praktičnim pitanjima. Neke države članice </w:t>
      </w:r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izvestile 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pozitivnim iskustvima u takvim </w:t>
      </w:r>
      <w:bookmarkStart w:id="75" w:name="P206_45576"/>
      <w:r w:rsidR="00FB3B3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razmenama</w:t>
      </w:r>
      <w:hyperlink r:id="rId21" w:anchor="P206_4557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76</w:t>
        </w:r>
      </w:hyperlink>
      <w:bookmarkEnd w:id="7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nekim državama članicama</w:t>
      </w:r>
      <w:r w:rsidR="00792D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sudstvo se upušta u dijalog sa izvršnom vlašću, kada sudije privremeno odsustvuju sa posla kako bi radili u građanskom ili krivičnom odseku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ministarstva prav</w:t>
      </w:r>
      <w:bookmarkStart w:id="76" w:name="P207_46049"/>
      <w:r w:rsidR="00792D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</w:t>
      </w:r>
      <w:hyperlink r:id="rId22" w:anchor="P207_46048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77</w:t>
        </w:r>
      </w:hyperlink>
      <w:bookmarkEnd w:id="7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drugim državama članicama, međutim, to se smatra kršenjem načela sud</w:t>
      </w:r>
      <w:r w:rsidR="00792D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ske ne</w:t>
      </w:r>
      <w:r w:rsidR="00792DC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visnosti</w:t>
      </w:r>
      <w:bookmarkStart w:id="77" w:name="P208_46196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"P208_46195"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D40F74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(iv) Dijalog s</w:t>
      </w:r>
      <w:r w:rsidR="00234AB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javnošću</w:t>
      </w:r>
      <w:r w:rsidR="0063766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ab/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 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br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br/>
        <w:t>32. Kao što je CCJE prethodno napomenuo, dijalog s</w:t>
      </w:r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javnošću, </w:t>
      </w:r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neposredno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putem medija, </w:t>
      </w:r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jeste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presudne važnosti kako bi se građani bolje upoznali s</w:t>
      </w:r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pravom i </w:t>
      </w:r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kako bi se povećalo njihovo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erenje u </w:t>
      </w:r>
      <w:bookmarkStart w:id="78" w:name="P213_46501"/>
      <w:r w:rsidR="00234AB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hyperlink r:id="rId23" w:anchor="P213_46500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79</w:t>
        </w:r>
      </w:hyperlink>
      <w:bookmarkEnd w:id="78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nekim državama članicama, imenovanje 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porotnika smatra se stvaranjem korisne veze između 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javnosti. CCJE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svom Mišljenju broj 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0C02F9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(2005)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„pravosuđu i društvu” </w:t>
      </w:r>
      <w:r w:rsidR="000C02F9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preporučuje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 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pojedinačni sudovi 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trebalo 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uspostave </w:t>
      </w:r>
      <w:r w:rsidR="000C02F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neposredan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dijalog s medijima i javnosti</w:t>
      </w:r>
      <w:bookmarkStart w:id="79" w:name="P214_4684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"P214_46840"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79"/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Na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er, sudovi bi trebal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da preuzmu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obrazovnu ulogu organizovanjem pos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eta 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učenika i studenata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pružanjem informacija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kao 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aktivnim objašnjavanjem sudskih odluka javnosti i medijima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kako bi se poboljšalo njihovo ra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zum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evanje </w:t>
      </w:r>
      <w:r w:rsidR="002F553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sistema i kako bi se izb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egli nesporazumi</w:t>
      </w:r>
      <w:bookmarkStart w:id="80" w:name="P215_47153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"P215_47152"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Iako uspostavljanje odnosa s medijima predstavlja određeni rizik, sudovi mogu </w:t>
      </w:r>
      <w:r w:rsidR="00DC4BE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sprečiti pogrešno predstavljanje u javnosti kroz aktivan kontakt i objašnjenja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  <w:r w:rsidR="00DC4BE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Takvim pristupom, sudstvo može biti odgovorno društvu i obezbediti da je percepcija javnosti o sudskom sistemu precizna i da odslikava trud koji sudije ulažu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Na taj način</w:t>
      </w:r>
      <w:r w:rsidR="00DC4BE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sudije mogu da obrazuju javnost da postoje ogranićenja 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opsegu delovanja </w:t>
      </w:r>
      <w:r w:rsidR="00DC4BE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sudskog sistema</w:t>
      </w:r>
      <w:bookmarkStart w:id="81" w:name="P216_4768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"P216_47683"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lastRenderedPageBreak/>
        <w:t>(c) „Kaznena odgovornost”</w:t>
      </w:r>
    </w:p>
    <w:p w:rsidR="00303095" w:rsidRPr="00C5255F" w:rsidRDefault="00303095" w:rsidP="00B75459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33. K</w:t>
      </w:r>
      <w:r w:rsidR="00BC36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ao što je CCJE prethodno </w:t>
      </w:r>
      <w:r w:rsidR="00FB17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primetio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svi postupci sudstva moraju biti u skladu s važećim načelima profesionalnog </w:t>
      </w:r>
      <w:r w:rsidR="006224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ophođenja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utvrđenim disciplinskim propisima i</w:t>
      </w:r>
      <w:r w:rsidR="006224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okviru </w:t>
      </w:r>
      <w:r w:rsidR="006224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uslova koji čuvaju nezavisnosti i nepristrasnost sudija –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62247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krivičnim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pravom. Načela profesionalnog </w:t>
      </w:r>
      <w:r w:rsidR="0085758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ophođenja bi trebalo da budu odvojena od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njihove primene putem disciplinskih </w:t>
      </w:r>
      <w:bookmarkStart w:id="82" w:name="P221_48138"/>
      <w:r w:rsidR="0085758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sistema</w:t>
      </w:r>
      <w:hyperlink r:id="rId24" w:anchor="P221_48137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83</w:t>
        </w:r>
      </w:hyperlink>
      <w:bookmarkEnd w:id="8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P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Uzevši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obzir važnost etike i integriteta za poverenje javnosti u 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su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imaju obvezu 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ophođenja sa integritetom i u vršenju svoje funkcije, ali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u privatnom životu</w:t>
      </w:r>
      <w:bookmarkStart w:id="83" w:name="P222_48379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"P222_48378"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te će biti odgovorni za svoje ponašanje koje nije u skladu s prihvaćenim normama. Ponekad 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ophođenje sudija pojedinaca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previše odstupa od normi 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nije dovoljno </w:t>
      </w:r>
      <w:r w:rsidR="002851D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puko objašnjenje za isto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Posl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edica činjenice sa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društvo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garantuje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velika ovlašćenja i poverenje sudijama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jest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mora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postojati način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pozivanja 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odgovornost, pa čak i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razrešenja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njihovih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funkcija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slučaj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evima toliko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nedoličnog ponašanja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koje bi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opravdalo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preduzimanje takve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</w:t>
      </w:r>
      <w:bookmarkStart w:id="84" w:name="P223_4894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"P223_48944"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Ovo je posebno slučaj kod sudske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korupcije</w:t>
      </w:r>
      <w:bookmarkStart w:id="85" w:name="P224_49051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"P224_49050"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koja u osnovi urušava poverenje javnosti u nepristrasnost i nezavisnost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ostalim slučajevima nedoličnog ponašanja,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krivična</w:t>
      </w:r>
      <w:bookmarkStart w:id="86" w:name="P225_4944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"P225_49443"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građanskopravna</w:t>
      </w:r>
      <w:bookmarkStart w:id="87" w:name="P226_4952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"P226_49523"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88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ili disciplinska odgovornost</w:t>
      </w:r>
      <w:bookmarkStart w:id="88" w:name="P227_49615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"P227_49614"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89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8"/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će biti adekvatna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B7545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zavisnosti od prirode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nedoličnog ponašanja.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VI. Kako </w:t>
      </w:r>
      <w:r w:rsidR="002040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zahtevi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„</w:t>
      </w:r>
      <w:r w:rsidR="002040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legitimiteta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” i „odgovornosti” </w:t>
      </w:r>
      <w:r w:rsidR="002040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utiču 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na odnos </w:t>
      </w:r>
      <w:r w:rsidR="002040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sudske prema ostalim dvama granama vlasti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?</w:t>
      </w:r>
    </w:p>
    <w:p w:rsidR="00303095" w:rsidRPr="00C5255F" w:rsidRDefault="00303095" w:rsidP="000E78B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34. </w:t>
      </w:r>
      <w:r w:rsidR="00241B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odgovornost su usko povezane. </w:t>
      </w:r>
      <w:r w:rsidR="00241B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bi trebalo da teži da zadrži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</w:t>
      </w:r>
      <w:r w:rsidR="00241B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pokaže svoj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241B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legitimitet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tako </w:t>
      </w:r>
      <w:r w:rsidR="00241B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što će da bude odgovorno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javnosti. Glavni način da se to postigne jest</w:t>
      </w:r>
      <w:r w:rsidR="007559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559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obezbeđivanjem rada najvišeg mogućeg kvaliteta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objašnjavanjem svojih postupaka i ponašanja drugim </w:t>
      </w:r>
      <w:r w:rsidR="007559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granama vlasti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i, </w:t>
      </w:r>
      <w:r w:rsidR="0075593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posredstvom njih ili neposredno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društvu u celini. Kao što je gore navedeno, nijedna </w:t>
      </w:r>
      <w:r w:rsidR="00DB03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</w:t>
      </w:r>
      <w:r w:rsidR="00DB03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 može </w:t>
      </w:r>
      <w:r w:rsidR="00DB03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postupati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potpuno odvojeno od ostalih dv</w:t>
      </w:r>
      <w:r w:rsidR="00DB03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ju. Sve </w:t>
      </w:r>
      <w:r w:rsidR="00FC6B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vlasti funkcionišu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odnosu </w:t>
      </w:r>
      <w:r w:rsidR="00FC6B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FC6B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Razmena i dijalog između sudstva i drugih grana vlasti se stoga preporučuje. Međutim, iako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svi </w:t>
      </w:r>
      <w:r w:rsidR="00FC6B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napred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opisani mehanizmi mogu </w:t>
      </w:r>
      <w:r w:rsidR="00FC6BC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budu dragoceni u obezbeđivanju da sudstvo bude odgovorno, takođe nose rizik da budu zloupotrebljeni. </w:t>
      </w:r>
    </w:p>
    <w:p w:rsidR="00303095" w:rsidRPr="00C5255F" w:rsidRDefault="00303095" w:rsidP="00884CF1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35.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Puno priznavanje 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osnovnih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garancija nezavisnosti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kao što su sigur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nost mandata, zabrana promene funkcije ili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esta bez pristanka 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izbor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napredovanje bez 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političkog uti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caja, dovoljna naknada za rad</w:t>
      </w:r>
      <w:r w:rsidR="00115B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sigurnost života i imovine</w:t>
      </w:r>
      <w:bookmarkStart w:id="89" w:name="P234_50984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"P234_50983"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90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8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predstavlja predu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slov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svaku ko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nstruktivnu raspravu između tri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 vlasti. Ako se poštuju takve osnovne garancije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neće trpeti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već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će, naprotiv, imati koristi od veće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legitimiteta stečenog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kombinaciju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zadovoljavajućeg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ustavne funkcije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učestvovanja 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diskusiji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Kontinuitet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35061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njegove legitimnosti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događa se automatski: oba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stalno zaslužuju</w:t>
      </w:r>
      <w:bookmarkStart w:id="90" w:name="P235_5165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"P235_51649"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91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 sudstva i njegova nezavisnost se najbolje čuva njegovim izvanrednim radom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Kako bi se postigao taj cilj i zadobilo poštovanje javnosti,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 i odgovorno sudstvo je otvoreno za opravdanu kritiku, uči iz sopstvenih grešaka i samim tim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neprestano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unapređuje svoj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rad.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ovaj način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odgovornost nisu međusobno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suprotstavljene već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naprotiv, jedna drugu </w:t>
      </w:r>
      <w:r w:rsidR="008A42C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unapređuju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Međutim, važno je naglasiti da sud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nije odgovoran za politik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prethodne vlade ili režima. Sudije ne smej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budu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pod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vrgnuti kritici ili disciplinski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 p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ostupcima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samo zato što su 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primenjivali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zakon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koji je usvojila prethodna vlast, osim ako </w:t>
      </w:r>
      <w:r w:rsidR="0040555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ih pogrešno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enili u </w:t>
      </w:r>
      <w:r w:rsidR="0045758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lošoj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veri.</w:t>
      </w:r>
    </w:p>
    <w:p w:rsidR="00303095" w:rsidRPr="00C5255F" w:rsidRDefault="00303095" w:rsidP="001E1AE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36. Posebno je teško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napraviti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ravnotežu između potrebe za zaštitom sudskih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postupaka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iskrivljenja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pritis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 političkih izvora naspram potrebe za otvorenom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raspravom o pitanjima od javnog interesa koja se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tiču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F627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upravljanja pravdom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</w:t>
      </w:r>
      <w:r w:rsidR="00CE2B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jedne strane, kako</w:t>
      </w:r>
      <w:r w:rsidR="00CE2B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istakao CCJE,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moraju </w:t>
      </w:r>
      <w:r w:rsidR="00CE2B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prihvate da su javne </w:t>
      </w:r>
      <w:r w:rsidR="00B87A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ličnosti</w:t>
      </w:r>
      <w:r w:rsidR="00CE2B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ne sme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</w:t>
      </w:r>
      <w:r w:rsidR="00CE2B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budu pret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erano osetljiv</w:t>
      </w:r>
      <w:bookmarkStart w:id="91" w:name="P238_52776"/>
      <w:r w:rsidR="00B87A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hyperlink r:id="rId25" w:anchor="P238_52775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92</w:t>
        </w:r>
      </w:hyperlink>
      <w:bookmarkEnd w:id="9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kada 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sa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rađuju s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drugim 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granama vlasti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društvom u celini, </w:t>
      </w:r>
      <w:r w:rsidR="00AC383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moraju preuzeti odgovornost za zaštitu svoje ne</w:t>
      </w:r>
      <w:r w:rsidR="00AC383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visnosti</w:t>
      </w:r>
      <w:bookmarkStart w:id="92" w:name="P239_5297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"P239_52976"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93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i nepristra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nosti. S</w:t>
      </w:r>
      <w:r w:rsidR="003A113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druge strane, u svim svojim odnosima sa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ostale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moraju poštovati načela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 i nepristrasnosti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Dijalog između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ostalih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vlasti, kao i sa širom ja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vnošću,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može se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zloupotrebiti za podrivanje nezavisnosti sudstva. Na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er, nije prihvatljivo da ostale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</w:t>
      </w:r>
      <w:r w:rsidR="008C31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kritikuju sudske odluke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način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koji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podriva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autoritet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po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tiče neposlušnost, pa čak i nasilje prema </w:t>
      </w:r>
      <w:bookmarkStart w:id="93" w:name="P240_53672"/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sudijama</w:t>
      </w:r>
      <w:hyperlink r:id="rId26" w:anchor="P240_53671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94</w:t>
        </w:r>
      </w:hyperlink>
      <w:bookmarkEnd w:id="9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Takođe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prihvatljivo da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opravdani kritički komentari pripadnika sudstva upućeni jednoj od druge dve grane vlasti (ili nekom njenom predstavniku) izrečeni u vršenju sudijskih dužnosti, dovedu do razrešenja sudijske funkcije na inicijativu jedne od druge dve grane vlasti</w:t>
      </w:r>
      <w:bookmarkStart w:id="94" w:name="P241_53996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"P241_53995"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Ključno je da se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diskusija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tri </w:t>
      </w:r>
      <w:r w:rsidR="004B50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 između 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3669C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opšte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javnosti, kao i</w:t>
      </w:r>
      <w:r w:rsidR="004B50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B50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sve</w:t>
      </w:r>
      <w:r w:rsidR="004B50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inspekcije i istrage koje su pre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duzimaju, </w:t>
      </w:r>
      <w:r w:rsidR="004B50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sprovode u okruženju međusobnog poverenja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Ti postupci </w:t>
      </w:r>
      <w:r w:rsidR="00CE7D72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 sme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ju 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 u 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 slučaju 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upotrebiti za uti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canje na određenu sudsku odluku ili za po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ticanje na nepoštovanje ili </w:t>
      </w:r>
      <w:r w:rsidR="00CE7D7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neposlušnost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pogledu sudskih odluka.</w:t>
      </w:r>
    </w:p>
    <w:p w:rsidR="00303095" w:rsidRPr="00C5255F" w:rsidRDefault="00303095" w:rsidP="001A7E6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37.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Uzevši u obzir građanskopravnu, krivičnu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disciplinsku odgovornost (ono što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napred nazvano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„kaznen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 odgovornost”), CCJE ističe da glavno sredstvo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 greške koje ne uključuju lošu 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eru mora biti žalbeni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postupak. Osim toga, kako bi se zaštitila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 nepotrebnog pritiska, velika pažnja mora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posvetiti </w:t>
      </w:r>
      <w:r w:rsidR="003314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uobličavanju odgovornosti sudija u odnosu  na krivičnu, građanskopravnu i disciplinsku odgovornost</w:t>
      </w:r>
      <w:bookmarkStart w:id="95" w:name="P244_5488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"P244_54879"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Zadaci tumačenja zakona, </w:t>
      </w:r>
      <w:r w:rsidR="00EB19C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odmeravanja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dokaza i </w:t>
      </w:r>
      <w:r w:rsidR="00EB19C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ocenjivanja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činjenica koje </w:t>
      </w:r>
      <w:r w:rsidR="00EB19C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vrše sudije da bi odlučili u predmetima, ne bi trebalo da vode njihovoj građanskopravnoj ili disciplinskoj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odgovornosti</w:t>
      </w:r>
      <w:r w:rsidR="00EB19C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osim u slučajevima zle nam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ere, namerne povrede ili,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uglavnom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grube nepažnje</w:t>
      </w:r>
      <w:bookmarkStart w:id="96" w:name="P245_55386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"P245_55385"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97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96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Nadalje, u slučaju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država mora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plati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odštetu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jednoj od strana strana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sporu zbog propusta u s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provođenju pravde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samo država</w:t>
      </w:r>
      <w:r w:rsidR="001A7E6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bi trebalo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a ne i strana u sporu,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A7E6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ćenje da ustanovi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kroz </w:t>
      </w:r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sudski postupak, građanskopravnu odgovornost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</w:t>
      </w:r>
      <w:bookmarkStart w:id="97" w:name="P246_56399"/>
      <w:r w:rsidR="002867F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dije</w:t>
      </w:r>
      <w:hyperlink r:id="rId27" w:anchor="P246_56398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98</w:t>
        </w:r>
      </w:hyperlink>
      <w:bookmarkEnd w:id="97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22D58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38.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Ceneći</w:t>
      </w:r>
      <w:r w:rsidR="00DB19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postojeće značajne razlike u ustavnim uređenjima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država članica,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proiz</w:t>
      </w:r>
      <w:r w:rsidR="00DB19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lazi da postoje značajna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odstupanja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iskustvima </w:t>
      </w:r>
      <w:r w:rsidR="00DB19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pojedinačnih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država u pogledu</w:t>
      </w:r>
      <w:r w:rsidR="00DB19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načina interakcije između tri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DB19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vlasti. Međutim, svaka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država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može učiti iz iskustava drugih.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 samo da se najbolja iskustva mogu deliti; prvenstveno i pre svega, međunarodna razmena može da pomogne razumevanju zajedničkih problema i načela. Zato bi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iskustva i pr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akse svih država članica trebalo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deliti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posredstvom međunarodnih i e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ropskih institucija, uključujući </w:t>
      </w:r>
      <w:r w:rsidR="00BF644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posebno tela Saveta Evrope.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VII.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Potreba za ogra</w:t>
      </w:r>
      <w:r w:rsidR="004376C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ničenjem u odnosima između tri grane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vlasti</w:t>
      </w:r>
    </w:p>
    <w:p w:rsidR="00303095" w:rsidRPr="00C5255F" w:rsidRDefault="00303095" w:rsidP="0075551E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39. Kao što je već objašnjeno, tri </w:t>
      </w:r>
      <w:r w:rsidR="00273AE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</w:t>
      </w:r>
      <w:r w:rsidR="00273AE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deluju u odnosu međuza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visnosti. U tom smislu nikada ne može doći do potpune „</w:t>
      </w:r>
      <w:r w:rsidR="006F1F3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podele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vlasti”. Međutim, kako bi se postigla odgovarajuća ravnoteža među trima </w:t>
      </w:r>
      <w:r w:rsidR="00B1473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granama vlasti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svaka </w:t>
      </w:r>
      <w:r w:rsidR="009210E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 njih 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na odgovarajući način ograničiti u svojim odnosima </w:t>
      </w:r>
      <w:r w:rsidR="009210E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</w:t>
      </w:r>
      <w:r w:rsidR="003D5BD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ostalim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A. „</w:t>
      </w:r>
      <w:r w:rsidR="00A16A21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Ograničavanje sudstva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”</w:t>
      </w:r>
    </w:p>
    <w:p w:rsidR="00303095" w:rsidRPr="00C5255F" w:rsidRDefault="00303095" w:rsidP="00464C8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40. 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Sudska vlast, kao jedna od tri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sti, odgovorna je društvu kojem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služi. 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skladu sa tim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sudstvo, kao i ostale grane vlasti,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uv</w:t>
      </w:r>
      <w:r w:rsidR="00471BC3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ek</w:t>
      </w:r>
      <w:r w:rsidR="00471B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imati najbolji interes javnosti kao svoj osnovni interes. Ovo zahteva da sudstvo prepozna društvene i ekonomske uslove u kojima druge dve grane vlasti moraju da deluju. </w:t>
      </w:r>
      <w:r w:rsidR="003F68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Dalje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F68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mora biti svesno da postoje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ograničenja u pogledu </w:t>
      </w:r>
      <w:r w:rsidR="003F68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sudske i zakonske intervencije u odnosu na političke odluke koje donose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zakonodavna i izvršna vlast. Stoga svi sudovi u okviru </w:t>
      </w:r>
      <w:r w:rsidR="0095375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moraju </w:t>
      </w:r>
      <w:r w:rsidR="0095375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voditi računa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ne izađu izvan 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dozvoljenog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područja za </w:t>
      </w:r>
      <w:r w:rsidR="0095375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vršenje sudske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vlasti. CCJE 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prepoznaje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zakonodavna i izvršna vlast imaju legitimne razloge za zabrinutost da bi 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 mogla 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izađe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</w:t>
      </w:r>
      <w:r w:rsidR="00464C8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van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granica svoje uloge.</w:t>
      </w:r>
    </w:p>
    <w:p w:rsidR="00303095" w:rsidRPr="00C5255F" w:rsidRDefault="00303095" w:rsidP="007E699E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41.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svojim odnosima s ostalim dva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ma 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vlastima, 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nastojati 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izbegne da bude posmatrana da štiti samo sopstvene interese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tako prenaglašava svoje pos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ebne razloge za zabrinutost. Um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esto toga, 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mora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preuze</w:t>
      </w:r>
      <w:r w:rsidR="005E294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ti odgovornost za društvo kojem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služi.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mora pokazati razum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evanje i odgovornost prema potrebama javnosti i zahtevima državne blagajne.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pružiti svoj uvid u moguće posledice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predloženih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odluka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izvršne vlasti o sposobnosti </w:t>
      </w:r>
      <w:r w:rsidR="00744D9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ispuni svoju ustavnu ulogu.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takođe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vode računa da se ne suprotstavljaju svim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predloženim prom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nama u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sudskom sistemu tako što bi ih označavali napadima na nezavisnost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Međutim, ako su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ili sposobnost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da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vrši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svoju ustavnu ulogu ugrožene ili napadnute,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</w:t>
      </w:r>
      <w:r w:rsidR="009935D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neustrašivo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braniti svoj stav. Primeri odluka koje bi mogle </w:t>
      </w:r>
      <w:r w:rsidR="007E699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svrstaju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</w:t>
      </w:r>
      <w:r w:rsidR="007E699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kategorije jesu masovna smanjenja pravne pomoći ili zatvaranje sudova zbog ekonomskih ili političkih razloga.</w:t>
      </w:r>
    </w:p>
    <w:p w:rsidR="00303095" w:rsidRPr="00C5255F" w:rsidRDefault="00303095" w:rsidP="007667D3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42.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potrebno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kritikovati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neku drugu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njenog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određenog člana u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toku presuđivanja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sporu ili kada je to potrebno u interesu javnosti, onda se to mora i </w:t>
      </w:r>
      <w:r w:rsidR="003131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učiniti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sudovi mogu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kritikuju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zakonodavstvo ili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neuspeh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zakonodavne vlasti da uvede zakonodavstvo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koje bi sud smatrao odgovarajući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m. Međutim, kao i kod ostalih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u odnosu na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920C8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kritika sudstva mora biti preduzeta u kontekstu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uzajamnog poštovanja. </w:t>
      </w:r>
      <w:r w:rsidR="00B1033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i svi drugi građani, imaju pravo </w:t>
      </w:r>
      <w:r w:rsidR="00B1033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učestvuju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javnoj raspravi pod </w:t>
      </w:r>
      <w:r w:rsidR="00B1033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uslovom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je ona u skladu s</w:t>
      </w:r>
      <w:r w:rsidR="00B1033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održavanjem njihove </w:t>
      </w:r>
      <w:r w:rsidR="00B1033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 ili nepristrasnosti</w:t>
      </w:r>
      <w:r w:rsidR="00AF1B3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Sudstvo nikada ne sm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po</w:t>
      </w:r>
      <w:r w:rsidR="00AF1B3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ticati </w:t>
      </w:r>
      <w:r w:rsidR="00AF1B3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neposlušnost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nepoštovanje prema izvršnoj i zakonodavnoj vlasti. U svojim profesionalnim i privatnim odnosima s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predstavnicima ostalih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grana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moraju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izbegavaju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bilo kakav sukob interesa i svako ponašanje koje bi moglo 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stvori utisak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su 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nepristra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nost sudstva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 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njegovo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dostojanstvo</w:t>
      </w:r>
      <w:r w:rsidR="00C8142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uopšte</w:t>
      </w:r>
      <w:r w:rsidR="001C0E5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osporeni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 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Dokle god se kritike upućuju u </w:t>
      </w:r>
      <w:r w:rsidR="00C8142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klimi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uzajamnog poštovanja, to može biti korisno za društvo u celini. Međutim, </w:t>
      </w:r>
      <w:r w:rsidR="00080B9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nikada nije previše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naglasiti da nije prihvatljivo da se na razumne kritičke komentare </w:t>
      </w:r>
      <w:r w:rsidR="00080B9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upućene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080B9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drugim granama vlasti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odgovara </w:t>
      </w:r>
      <w:r w:rsidR="00080B9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razrešenjem sa sudijske funkcije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nekim drugim načinom </w:t>
      </w:r>
      <w:bookmarkStart w:id="98" w:name="P261_60767"/>
      <w:r w:rsidR="00080B9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odmazde</w:t>
      </w:r>
      <w:hyperlink r:id="rId28" w:anchor="P261_60766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99</w:t>
        </w:r>
      </w:hyperlink>
      <w:bookmarkEnd w:id="98"/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CCJE takođe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naglašava da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nedopušteno ponašanje predstavnika zakonodavne i izvršne vlasti te političara može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pojaviti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obliku popustljivosti i, u nekim slučajevima, podrške agresivnim ili čak radikalnim, nasilnim i nezakonitim radnjama protiv </w:t>
      </w:r>
      <w:bookmarkStart w:id="99" w:name="P262_61098"/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hyperlink r:id="rId29" w:anchor="P262_61097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100</w:t>
        </w:r>
      </w:hyperlink>
      <w:bookmarkEnd w:id="99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Neposredna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posredna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podrška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ovakvim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radnjama protiv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je potpuno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neprihvatljiva. Ne samo da su takve radnje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neporedan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napad na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sudstva,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već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njima i guše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javne rasprave </w:t>
      </w:r>
      <w:r w:rsidR="007667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B. </w:t>
      </w:r>
      <w:r w:rsidR="00825B0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Ograničenos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t ostalih </w:t>
      </w:r>
      <w:r w:rsidR="00825B0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grana 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vlasti</w:t>
      </w:r>
    </w:p>
    <w:p w:rsidR="00303095" w:rsidRPr="00C5255F" w:rsidRDefault="00303095" w:rsidP="00761544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43.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Ograničenosti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odgovarati jednak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stepen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odgovornosti i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ograničenja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ostalih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vlasti države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Povrh svega, ostale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moraju </w:t>
      </w:r>
      <w:r w:rsidR="00825B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prepoznati legitimnu ustavnu funkciju koju vrši sudstvo i da osiguraju da su mu data dovoljna sredstva da je vrši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Ova funkcija presuđivanja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svim pravnim sporovima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zatim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tumačenja i primene zakona nužna je za dobrobit moderne demokratske države s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vladavinom prava baš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funkcije zakonodavne i izvršne vlasti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države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državi kojom vlada načelo 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vlasti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mešanje rada jedne grane vlasti države 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preostale dve mora se održavati unutar granica zakona i međunarodno prihvaćenih standarda.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CCJE smatra da,</w:t>
      </w:r>
      <w:r w:rsidR="00904DE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ukoliko do neželjenog uplitanja dođe, 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</w:t>
      </w:r>
      <w:r w:rsidR="003E79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 trebalo da predano sarađuju kako bi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vratile ravnotežu</w:t>
      </w:r>
      <w:r w:rsidR="003E79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a samim tim i poverenje društva 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</w:t>
      </w:r>
      <w:r w:rsidR="00EF62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metano funkcioniranje javnih institucija. U svim slučajevima sukoba sa z</w:t>
      </w:r>
      <w:r w:rsidR="007615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akonodavnom ili izvršnom vlašću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koji uključuju </w:t>
      </w:r>
      <w:r w:rsidR="007615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pojedince, oni bi trebalo da budu 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mogućnosti </w:t>
      </w:r>
      <w:r w:rsidR="007615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se obrate sudskom savetu ili drugom nezavisnom telu, ili bi trebalo da imaju neku drugu efikasnu vrstu </w:t>
      </w:r>
      <w:bookmarkStart w:id="100" w:name="P267_62593"/>
      <w:r w:rsidR="0076154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pravnog leka</w:t>
      </w:r>
      <w:hyperlink r:id="rId30" w:anchor="P267_62592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101</w:t>
        </w:r>
      </w:hyperlink>
      <w:bookmarkEnd w:id="100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(1) Preispitivanje imenovanja već </w:t>
      </w:r>
      <w:r w:rsidR="00877D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izabranih sudija</w:t>
      </w:r>
    </w:p>
    <w:p w:rsidR="00303095" w:rsidRPr="00C5255F" w:rsidRDefault="00303095" w:rsidP="00541A40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44. Odluke kojima se uklanjaju osnovne </w:t>
      </w:r>
      <w:r w:rsidR="00877D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garancije nezavisnosti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neprihvatljive su čak i kada su prikrivene</w:t>
      </w:r>
      <w:bookmarkStart w:id="101" w:name="P272_6280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"P272_62799"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102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1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877D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nova parla</w:t>
      </w:r>
      <w:r w:rsidR="00877D0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mentarna većina i vlada ne smeju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dovoditi u pitanje imenovanje ili mandat sud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koji su već imenovani na odgovarajući način. Mandat pojedinih 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dovede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pitanje samo 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 se u skladu s odgovarajućim sudskim postupcima jasno ustanovi da 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krši disciplinske propise ili </w:t>
      </w:r>
      <w:r w:rsidR="00541A4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krivično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pravo.</w:t>
      </w:r>
    </w:p>
    <w:p w:rsidR="00303095" w:rsidRPr="00C5255F" w:rsidRDefault="007C4B7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(2) Zakonodavstvo: prom</w:t>
      </w:r>
      <w:r w:rsidR="00303095"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ene u pravosudnom 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sistemu</w:t>
      </w:r>
    </w:p>
    <w:p w:rsidR="00303095" w:rsidRPr="00C5255F" w:rsidRDefault="00303095" w:rsidP="007C4B7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45. Pitanje kada i koliko često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treba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lo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enjati zakonodavstvo spada u nadležnost zakonodavne vlasti. Međutim, previše promena u kratkom vremenskom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periodu bi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treba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izbegavati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moguće, barem u </w:t>
      </w:r>
      <w:bookmarkStart w:id="102" w:name="P277_63530"/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pravosuđu</w:t>
      </w:r>
      <w:hyperlink r:id="rId31" w:anchor="P277_63529" w:tgtFrame="_self" w:history="1">
        <w:r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103</w:t>
        </w:r>
      </w:hyperlink>
      <w:bookmarkEnd w:id="102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 se vrše promene u sistemu pravosuđa, mora se voditi računa da se osigura da budu praćene adekvatnim finansijskim, tehničkim i procesnim odredbama, kao i odgovarajućim ljudstvom</w:t>
      </w:r>
      <w:bookmarkStart w:id="103" w:name="P278_63798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"P278_63797"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104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3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suprotnom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postoji opasnost od nestabilnosti u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adekvatnom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sprovođenju pravde,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te bi javnost mogla (pogrešno)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zaključi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su propusti u upravljanju novim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sistemom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krivica </w:t>
      </w:r>
      <w:r w:rsidR="007C4B7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To može dovesti do nepotrebnog nepoverenja i sukoba.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(3) Zakonodavna vlast: parlamentarni istražni odbori</w:t>
      </w:r>
    </w:p>
    <w:p w:rsidR="00303095" w:rsidRPr="00C5255F" w:rsidRDefault="00303095" w:rsidP="00487864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46. Postoji opasnost od preklapanja pravilne uloge 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i uloge parlamentarnih istražnih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odbora. CCJE 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prepoznaje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nacionalna ili lokalna parlamentarna 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ela mogu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u skladu sa zakonodavstvom mnogih država članica, 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osnivaju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odbore za istraživanje društvenih pojava, navodnih kršenja </w:t>
      </w:r>
      <w:r w:rsidR="001A56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ili loše 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ene zakona.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Nadležnosti ovih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odbora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često slične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nadležnostima pravosudnih 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ela, k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ao što su pravo na pozivanje sv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edoka, naređivanje objavljivanja ili oduzimanja dokumentacije s dokazima itd. Prema mišljenju CCJE-a, kako bi se očuvala odgovarajuća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vlasti,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istraživanje </w:t>
      </w:r>
      <w:r w:rsidR="00F521A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odbora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u suštini ne bi smeli da ometaju istragu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suđenja koja su pravosudna tela pokrenula ili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nameravaju da pokrenu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Ako se u takvim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komentarisati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postojeće sudske odluke u pojedinim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predmetima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to je potrebno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činiti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odgovarajućim poštovanjem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trebalo bi da se suzdrže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iznošenja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bilo kakve kritike u smislu koji bi doveo do revizije </w:t>
      </w:r>
      <w:r w:rsidR="00F521A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donetih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odluka. Međutim, </w:t>
      </w:r>
      <w:r w:rsidR="0014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se </w:t>
      </w:r>
      <w:r w:rsidR="0014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tokom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istrage ispituju mogući nedostaci u </w:t>
      </w:r>
      <w:r w:rsidR="0014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sprovođenju pravde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koji su istaknuti u pojedinom </w:t>
      </w:r>
      <w:r w:rsidR="0014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predmetu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ti se postupci mogu, s dužnom pažnjom, ispit</w:t>
      </w:r>
      <w:r w:rsidR="001432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ati. Istraga nikada ne može zam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eniti pravi sudski postupak.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(4) „</w:t>
      </w:r>
      <w:r w:rsidR="00D8545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Ombudsman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”, </w:t>
      </w:r>
      <w:r w:rsidR="00D8545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javni ili građanski zastupnici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ili </w:t>
      </w:r>
      <w:r w:rsidR="00D8545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medijatori i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glavni inspektor</w:t>
      </w:r>
    </w:p>
    <w:p w:rsidR="00303095" w:rsidRPr="00C5255F" w:rsidRDefault="00303095" w:rsidP="001E4BC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47. „</w:t>
      </w:r>
      <w:r w:rsidR="00D8545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Ombudsman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”, </w:t>
      </w:r>
      <w:r w:rsidR="00D8545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javni ili građanski advokati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D8545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medijatori 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glavni inspektori koje imenuje izvr</w:t>
      </w:r>
      <w:r w:rsidR="00B8596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šna vlast ili parlament često postupaju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uz značajan </w:t>
      </w:r>
      <w:r w:rsidR="00B8596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stepen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samostalnosti. Njihov je zadatak</w:t>
      </w:r>
      <w:r w:rsidR="000210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štite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interese javnosti istraživanjem i </w:t>
      </w:r>
      <w:r w:rsidR="000210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postupanjem </w:t>
      </w:r>
      <w:r w:rsidR="00A51A9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 pritužbama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pojedinaca o navodnom kršenju prava</w:t>
      </w:r>
      <w:r w:rsidR="007841D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obično od strane janih tela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Zadatak </w:t>
      </w:r>
      <w:r w:rsidR="002B459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ovih tela je da istraže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pritužbe i </w:t>
      </w:r>
      <w:r w:rsidR="002B459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pokušaju da ih reše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obično </w:t>
      </w:r>
      <w:r w:rsidR="00C011D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preporukama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(obvezujući</w:t>
      </w:r>
      <w:r w:rsidR="00C011D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ne) ili posredovanj</w:t>
      </w:r>
      <w:r w:rsidR="00C011D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D532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Ovo može,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eđutim, ometati razvoj pojedinačnih predmeta koji su već pokrenuti na sudu ili će uskoro </w:t>
      </w:r>
      <w:r w:rsidR="00D5326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to biti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Takve intervencije </w:t>
      </w:r>
      <w:r w:rsidR="000A32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0A32C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spr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ečiti. Stoga CCJE </w:t>
      </w:r>
      <w:r w:rsidR="0062302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preporučuje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se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zakonodavstv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država članica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razjasne odnos između nadležnosti „ombudsmana“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(ili sličnih agencija) i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nadležnosti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sudova. Dobro rešenje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može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naći u pravilu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koje su usvojile neke države članice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prema kojem bi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obraćanje ovakvim agencijama bilo dostupno pre obraćanja sudu;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ali kad sudski postupci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počnu, stranke se mogu obratiti agenciji samo </w:t>
      </w:r>
      <w:r w:rsidR="001E4B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 preporuci sudije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zaduženog za predmet.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lastRenderedPageBreak/>
        <w:t>(5) Upravljanje sudovima i inspekcije</w:t>
      </w:r>
    </w:p>
    <w:p w:rsidR="00303095" w:rsidRPr="00C5255F" w:rsidRDefault="00303095" w:rsidP="001B050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48. </w:t>
      </w:r>
      <w:r w:rsidR="00227B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Tok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om poslednjih </w:t>
      </w:r>
      <w:r w:rsidR="00227B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decenija uvedena je samouprava 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</w:t>
      </w:r>
      <w:r w:rsidR="00227B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proširen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opseg u mnogim državama članicama. Modeli koji se upotrebljavaju u pogledu upravljanja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sudstvom se razlikuju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U nekim zemljama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upravljanje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pravosuđem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obavlja ministarstvo</w:t>
      </w:r>
      <w:r w:rsidR="00EF7C0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pravde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nekima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agencije, a u nekima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pravosudni saveti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CCJE je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sačinio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preporuke o </w:t>
      </w:r>
      <w:r w:rsidR="00CC00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ovim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pitanjima</w:t>
      </w:r>
      <w:bookmarkStart w:id="104" w:name="P291_67017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"P291_67016"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105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4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nekim zemljama </w:t>
      </w:r>
      <w:r w:rsidR="00EF7C0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izvršna vlast</w:t>
      </w:r>
      <w:r w:rsidR="00EF7C0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preko ministarstava pravde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imala značajan </w:t>
      </w:r>
      <w:r w:rsidR="00EF7C0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uticaj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upravljanje sudovima preko predsednika sudova i pravosudne inspekcije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i 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slučajevima 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kojima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upravljanje sudom 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neposredno zavisi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 ministarstva</w:t>
      </w:r>
      <w:r w:rsidR="000E791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pravde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Prisutnost 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službenika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izvršne vlasti u okvir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organizacionih 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ela sudova </w:t>
      </w:r>
      <w:r w:rsidR="00E34B7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trebalo izb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egavati. </w:t>
      </w:r>
      <w:r w:rsidR="001B050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Njihovo prisustvo bi moglo da dovede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B050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ometanja </w:t>
      </w:r>
      <w:r w:rsidR="001B050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funkcije, čime bi se ugrozila </w:t>
      </w:r>
      <w:r w:rsidR="001B050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sudstva.</w:t>
      </w:r>
    </w:p>
    <w:p w:rsidR="00303095" w:rsidRPr="00C5255F" w:rsidRDefault="00303095" w:rsidP="007A1D99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49. Problemi u interakciji između izvršne i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mogu javiti u onim državama u kojima ministar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 pravosuđe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ostala ministarstva ili agencije, npr. one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koe su nadležne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reviziju i/ili finan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ijski nadzor, imaju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ovlašćenje da nalažu inspekcije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sudovima. Takve inspekcije mogu imati različite ciljeve. </w:t>
      </w:r>
      <w:r w:rsidR="009835D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inspekcija može </w:t>
      </w:r>
      <w:r w:rsidR="00E03C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biti postojati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radi prikupljanja informacija </w:t>
      </w:r>
      <w:r w:rsidR="00E03C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dodeljivanju finansijskih sredstava ili radi dobij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anja informacija </w:t>
      </w:r>
      <w:r w:rsidR="00E03C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koje se tiču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moguće reorganizacije </w:t>
      </w:r>
      <w:r w:rsidR="00E03C48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usluga sudova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radi prikupljanja informacija kako bi se </w:t>
      </w:r>
      <w:r w:rsidR="00136CA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preduzele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moguće disciplinske mere protiv </w:t>
      </w:r>
      <w:r w:rsidR="00136CA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zaposlenih u sudu sudova i/ili sudija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Inspektorate ponekad čine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nekadašnje sudije, a ponekad se čak osnivaju pri pravosudnim savetima. CCJE smatra da, iako uvid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spoljnih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istražitelja može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pomoći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uočavanju nedostataka u određenoj ustanovi,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poput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ključno je da s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radnje inspektora nikad ne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eša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 u tok sudskih istraga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suđenja. Pravo ostalih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grana vlasti da budu informisane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ili da istražuju pravosudni sistem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trebalo bi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u svim slučajevima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vrši poštujući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ograničenja koja nameće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i (gde je to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predviđeno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zakonom) tajnost sudskih istraživanja. Inspekcije </w:t>
      </w:r>
      <w:r w:rsidR="007A1D99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nikad ne bi smele da se odnose 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pojedinačne slučajeve, a ponajmanje na slučajeve koji čekaju suđenje.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71502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(6) </w:t>
      </w:r>
      <w:r w:rsidR="0071502D" w:rsidRPr="0071502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Budžetska</w:t>
      </w:r>
      <w:r w:rsidRPr="0071502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 xml:space="preserve"> autonomija</w:t>
      </w:r>
    </w:p>
    <w:p w:rsidR="00303095" w:rsidRPr="00C5255F" w:rsidRDefault="00303095" w:rsidP="00D8371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50. Posledice </w:t>
      </w:r>
      <w:r w:rsidR="0071502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poteškoća javnih finansija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pogotovo onih koje proizlaze iz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ekonomske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krize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2008. godine,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uzrokovale su ozbiljne probleme u mnogim državama članicama. Pristup sudovima i pravnoj pomoći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 smanjio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radno opterećenje sudova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poraslo, a sudstvo je restrukturirano. U svojim odgovorima na upitnik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mnoge države članice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izvestile 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aspravama o naknadama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 rad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D8371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Plate sudija su bile nepromenjene tokom nekoliko godina ili čak i smanjene.</w:t>
      </w:r>
    </w:p>
    <w:p w:rsidR="00303095" w:rsidRPr="00C5255F" w:rsidRDefault="00303095" w:rsidP="00E4310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51. </w:t>
      </w:r>
      <w:r w:rsidR="003117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Prihaćeno je, u skladu sa ustavnim odredbama, u krajnjoj liniji, odluke o finansiranju sistema pravosuđa i naknade za rad sudija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biti u nadležnosti zakonodavne vlasti. </w:t>
      </w:r>
      <w:r w:rsidR="003117B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Međutim, trebalo bi se uvek pridržavati evropskih standarda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CCJE je don</w:t>
      </w:r>
      <w:r w:rsidR="008E05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preporuke o finan</w:t>
      </w:r>
      <w:r w:rsidR="008E05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iranju </w:t>
      </w:r>
      <w:r w:rsidR="008E05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bookmarkStart w:id="105" w:name="P300_69690"/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"P300_69689" \t "_self" </w:instrText>
      </w:r>
      <w:r w:rsidR="00843F97"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106</w:t>
      </w:r>
      <w:r w:rsidR="00843F97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5"/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8E05C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bi trebalo da parlamentu pojasni svoje potrebe i, ukoliko je moguće, ministarstvu pravde.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slučaju </w:t>
      </w:r>
      <w:r w:rsidR="00FB45C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ozbiljne ekonomske krize, sudije, kao i svi ostali članovi društva, moraju da žive u skladu sa ekonomskim mogućnostima društva kojem služe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Međutim, društvo u celini </w:t>
      </w:r>
      <w:r w:rsidR="00FB45C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trebalo da hroničan nedostatak finans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iranja pravosudnog </w:t>
      </w:r>
      <w:r w:rsidR="00FB45C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sistema smatra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neprihvatljivim. </w:t>
      </w:r>
      <w:r w:rsidR="00E4310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Ovo iz razloga što hronični nedostatak finansiranja narušava temelje demokratskog društva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kojim upravlja vladavina prava.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(7) Kritike pripadnika izvršne i zakonodavne vlasti</w:t>
      </w:r>
    </w:p>
    <w:p w:rsidR="0069009C" w:rsidRDefault="00303095" w:rsidP="0069009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52. Političari i ostale osobe na javnim položajima u državama članicama često </w:t>
      </w:r>
      <w:r w:rsidR="00C423A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ističu komentare kojima zahtevaju da se sudska vlast ograniči ili pokazuju malo razumevanja za ulogu nezavisnosog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Takvi se koment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ari upućuju posebno to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kom izbornih kampanja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kad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donose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odluke o ustavnim 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pitanjima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u 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vezi sa slučajevima koji su u to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ku. U načelu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sudstvo mora da prihvati da kritika sastavni 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dijaloga između </w:t>
      </w:r>
      <w:r w:rsidR="0074326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tri grane vlasti i društva u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elini. Međutim, prema 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viđenju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CCJE-a, postoji jasna granica između slobode izražavanja i 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opravdane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kritike s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jedne strane 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nepoštovanja i 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nedoličnog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pritiska na 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99575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druge. Političari ne bi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smeli da koriste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simpli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tičke ili demagoške argumente za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kritikovanje sudstva tokom političkih kampanja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samo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radi iznošenja nekih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argumen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ili kako bi skrenuli pažnju sa svojih nedostataka. Ni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sudije pojedinci smeli da budu lično napadnuti. Političari nikad ne smeju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podsticati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nepoštovanje sudskih odluka, a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posebno ne na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nasilje nad </w:t>
      </w:r>
      <w:r w:rsidR="0084541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što je bio slučaj u nekim državama članicama. Izvršna i zakonodavna vlast imaju obvezu </w:t>
      </w:r>
      <w:r w:rsidR="006900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pruže svaku neophodnu i adekvatnu zaštitu u slučajevima kada su funkcije sudova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ugrožene napadima ili zastrašivanjima usmeren</w:t>
      </w:r>
      <w:r w:rsidR="006900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</w:t>
      </w:r>
      <w:r w:rsidR="006900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pripadnike sudstva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6900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Neuravnoteženi kritički komentari političara su neodgovorni i uezokuju ozbiljne probleme jer javno pouzdanje i poverenje u sudstvo može se time iz neznanja ili namerno narušiti.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takvim slučajevima</w:t>
      </w:r>
      <w:r w:rsidR="006900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sudstvo mora ukazati da je takvo ponašanje napad na ustav demokratske zemlje, kao i napad na legitimitet druge grane vlasti. Takvo ponašanje takođe narušava međunarodne standarde. </w:t>
      </w:r>
    </w:p>
    <w:p w:rsidR="00303095" w:rsidRPr="00C5255F" w:rsidRDefault="00303095" w:rsidP="0042279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53. Pojedinačni sudovi i </w:t>
      </w:r>
      <w:r w:rsidR="0021298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kao c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elina moraju raspravljati o načinima na koje se treba nositi s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takvim kritikama. 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pojedinci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koji su bili napadnuti često oklevaju 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se brane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(posebno u slučaju suđenja koje je u t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ku) kako bi sačuvali svoju 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pokazali da </w:t>
      </w:r>
      <w:r w:rsidR="00BF33E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ostaju nepristrasni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U nekim zemljama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pravosudni saveti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ili vrhovni sud pomažu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sudijama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takvim slučajevima.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Ovakvim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reakcijama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može ukloniti pritisak s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pojedinačnog sudije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biti delotvornije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 ih organizu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ju </w:t>
      </w:r>
      <w:r w:rsidR="004227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sa iskustvom sa medijima. </w:t>
      </w:r>
    </w:p>
    <w:p w:rsidR="00303095" w:rsidRPr="00C5255F" w:rsidRDefault="00303095" w:rsidP="0009529C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54.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Pravil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prema kojem bilo kakve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analize i kritike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jedne 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vlast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upućene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drugim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trebalo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izraziti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klimi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uzajamnog poštovanja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primenjuje se jednako na </w:t>
      </w:r>
      <w:r w:rsidR="008D4F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sudstvo, koliko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na članove zakonodavne i izvršne vlasti. Zapravo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još 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važnije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sudstvo da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bude izuzetno oprezn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jer su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često moraju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odluče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li 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izvršna ili zakonodavna vlast postupale u skl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adu sa zakonom. Nadalje, neće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moći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ukaže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erenje odlukama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sudske vlasti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koja svojim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pripadnicima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dopušta izražavanje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neopravdanih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komentara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ili komentara bez poštovanja prema drugim granama vlasti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Takve vrste primedbi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će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samo dovesti do „rata rečima” kojim će se narušiti poverenje javnosti u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kraju,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takav „rat”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mogao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dovede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 toga da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može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izvrši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svoju ustavnu funkciju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odlučivanja u sporovima između građana,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te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između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rađana i države na način koji to jeste, i koji odaje takav utisak,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nezavisan i nepristrasan.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To bi bilo štetno za društvo i demokra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iju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koje sudstvo ima obvezu </w:t>
      </w:r>
      <w:r w:rsidR="0009529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štiti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VIII: Sažetak ključnih t</w:t>
      </w:r>
      <w:r w:rsidR="004E1C0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a</w:t>
      </w:r>
      <w:r w:rsidRPr="00C525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r-Latn-CS"/>
        </w:rPr>
        <w:t>čaka</w:t>
      </w:r>
    </w:p>
    <w:p w:rsidR="00303095" w:rsidRPr="00C5255F" w:rsidRDefault="00303095" w:rsidP="00F9493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1. 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je jedno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tri grane vlasti u demokrat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iji. One su komplementarne i nijedna od tih vlasti nije „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vrhovna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 ili dominantna nad drugima (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9).</w:t>
      </w:r>
    </w:p>
    <w:p w:rsidR="00303095" w:rsidRPr="00C5255F" w:rsidRDefault="00303095" w:rsidP="00F9493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2. U demokratskoj državi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tri 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funkcionišu kao sistem kočnica i ravnoteža koje jedna drugu pozivaju na odgovornost u interesu društva kao celine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</w:t>
      </w:r>
      <w:r w:rsidR="0096725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stav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9).</w:t>
      </w:r>
    </w:p>
    <w:p w:rsidR="00303095" w:rsidRPr="00C5255F" w:rsidRDefault="00303095" w:rsidP="00F9493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3. Načelo </w:t>
      </w:r>
      <w:r w:rsidR="009F69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 </w:t>
      </w:r>
      <w:r w:rsidR="009F69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samo po sebi </w:t>
      </w:r>
      <w:r w:rsidR="009F69F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garancija nezavisnosti sudstva. 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mora biti nezavisno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kako bi 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vršilo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svoju ustavnu ulogu u odnosu na ostale 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vlasti, društvo 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celini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st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rane u bilo kojem sporu (stav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10)</w:t>
      </w:r>
      <w:r w:rsidR="00CE0190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6838F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4. Legitimnost </w:t>
      </w:r>
      <w:r w:rsidR="00F9493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i sudija </w:t>
      </w:r>
      <w:r w:rsidR="000D314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pojedinaca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proiz</w:t>
      </w:r>
      <w:r w:rsidR="00F9493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lazi, </w:t>
      </w:r>
      <w:r w:rsidR="00F9493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prvo i osnovno,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 ustava svake držav</w:t>
      </w:r>
      <w:r w:rsidR="00F9493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članice, a sve one su demokrat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ije kojima upravlja vladavina prava. Ustavom se osniva </w:t>
      </w:r>
      <w:r w:rsidR="00271A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te </w:t>
      </w:r>
      <w:r w:rsidR="00271A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="00271A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taj način dod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eljuje </w:t>
      </w:r>
      <w:r w:rsidR="00271A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legitimitet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kao celini i </w:t>
      </w:r>
      <w:r w:rsidR="00271AD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sudijama pojedincima koji vrše svoja ovlašćenja kao deo 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sudstva: („ustavni 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”).Ustavn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pojedinaca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imaju sigurnost mandata ne sm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se ugroz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iti zakonodavnim ili izvršnim 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erama nastalim kao posl</w:t>
      </w:r>
      <w:r w:rsidR="00806E0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edica promena u političkoj vlasti (stavovi 13 – 15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44).</w:t>
      </w:r>
    </w:p>
    <w:p w:rsidR="00303095" w:rsidRPr="00C5255F" w:rsidRDefault="00303095" w:rsidP="00E43A35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5. Ustavn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legitimitet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ponovno potvrđuje poverenje javnosti u 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i poštovanje istog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. 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udstvo mora neprestano 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zaslužuje i zadržava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poverenje i poštovanje izuzetnim radom najviših standarda</w:t>
      </w:r>
      <w:r w:rsidR="00CF3F1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: CCJE to naziva „funkcionalnim legitimitetom” (stavovi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16 – 19).</w:t>
      </w:r>
    </w:p>
    <w:p w:rsidR="00303095" w:rsidRPr="00C5255F" w:rsidRDefault="00303095" w:rsidP="005A13DD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6.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(kao i ostale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dve 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vlasti) pruža javne usluge.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Prema tome, sudstvo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kao i ostale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vlasti, ima odgovornost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prikaže drugim granama vlasti i društvu u celini primenu svojih ovalšćenja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autoriteta i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To se može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nazvati „odgovornošću” (stavovi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20 – 22).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„odgovornost” </w:t>
      </w:r>
      <w:r w:rsidR="005A13DD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javlja u nekoliko oblika.</w:t>
      </w:r>
    </w:p>
    <w:p w:rsidR="00303095" w:rsidRPr="00C5255F" w:rsidRDefault="000C7D62" w:rsidP="000C7D62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7. Prvo, postoji sistem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žalbi.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Sistem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žalbi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je,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načelu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jedini način na koji sudska odl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uka može biti poništena ili izm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enjena nakon što je donesena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jedini način na koji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 koje postupaju u dobroj veri mogu da budu odgovorne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 svoje odluke. CCJE je to nazvao „pravo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sudnom odgovornošću” (stavovi 23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26).</w:t>
      </w:r>
    </w:p>
    <w:p w:rsidR="00303095" w:rsidRPr="00C5255F" w:rsidRDefault="00E86B9E" w:rsidP="00E86B9E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8. 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rugo,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sudije postaju odgovorne kroz transparentnost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svog rada,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održavanje javnih ročišta i donošenje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obrazloženih presuda,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saradnju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javnošću i drugim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granama vlasti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CCJE je taj oblik o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dgovornosti nazvao „odgovornost obrazlaganja” (stavovi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27 – 32).</w:t>
      </w:r>
    </w:p>
    <w:p w:rsidR="00303095" w:rsidRPr="00C5255F" w:rsidRDefault="00303095" w:rsidP="00E10717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9. </w:t>
      </w:r>
      <w:r w:rsidRP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Treće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ukoliko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obavljao neprim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erene radnje dovoljno ozbiljne prirode, mora biti pozvan na odgovornost na rigorozan način, n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imer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kroz primenu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disciplinskih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mera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i, po potrebi,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krivičnog prava. CCJE je ovo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nazvao „kaznenom odgovornošću”.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Mora se 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svim slučajevima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voditi računa da se očuva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sudska nezavisnost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(stav</w:t>
      </w:r>
      <w:r w:rsidR="007E4A65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33 i 37).</w:t>
      </w:r>
    </w:p>
    <w:p w:rsidR="00303095" w:rsidRPr="00C5255F" w:rsidRDefault="00985245" w:rsidP="00985245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10. U pogledu odnosa između tri grane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vlasti: prvo,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sudije,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baš kao i svi ostali građani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imaju pravo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učestvuju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javnoj raspravi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ukoliko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je u skladu s održavanjem njihove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nepristra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nosti (stav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42)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p w:rsidR="00303095" w:rsidRPr="00C5255F" w:rsidRDefault="00303095" w:rsidP="00896FF2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lastRenderedPageBreak/>
        <w:t xml:space="preserve">11. Ostale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bi trebalo da prepoznaju legitimnu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ustavnu funkciju koju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vrši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osiguraju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joj se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dodeli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dovoljno sredstava kako bi izvršavala svoje funkcije. Analize i kritike koje jedna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grana vlasti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upućuje drugim </w:t>
      </w:r>
      <w:r w:rsidR="00896FF2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trebalo bi da se upućuju u klimi uzajamnog poštovanja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42).</w:t>
      </w:r>
    </w:p>
    <w:p w:rsidR="00303095" w:rsidRPr="00C5255F" w:rsidRDefault="00303095" w:rsidP="009C0EC6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12. </w:t>
      </w:r>
      <w:r w:rsidR="00D21C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 </w:t>
      </w:r>
      <w:r w:rsidR="00D21CC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bude svesno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postoje ograničenja u pogledu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sudskih i zakonskih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intervencija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odnosu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političke odluke koje moraju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donesu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zakonodavna i izvršna vlast. Stoga svi sudovi u okviru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voditi računa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da ne izađu izvan granica zakonitog područja za </w:t>
      </w:r>
      <w:r w:rsidR="009C0EC6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vršenje sudske vlasti (stav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40).</w:t>
      </w:r>
    </w:p>
    <w:p w:rsidR="00303095" w:rsidRPr="00C5255F" w:rsidRDefault="00303095" w:rsidP="00E70383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13. Odluke zakonodavne ili izvršne vlasti kojima se uklanjaju osnovne </w:t>
      </w:r>
      <w:r w:rsidR="00E703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mere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zaštite </w:t>
      </w:r>
      <w:r w:rsidR="00E703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nezavisnosti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neprihvatljive su </w:t>
      </w:r>
      <w:r w:rsidR="00E7038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čak i kada su prikrivene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44).</w:t>
      </w:r>
    </w:p>
    <w:p w:rsidR="00303095" w:rsidRPr="00C5255F" w:rsidRDefault="00E26592" w:rsidP="00E26592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14. Ministarstva pravde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smeju vršiti uti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caj na upravljanje sudovima preko predsednika sudova i pravosudne inspekcije na bilo koji način kojim bi mogla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ugrozi nazavisnost sudstva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 Potrebno je izbegavati prisu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stvo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zvaničnika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izvršne vlasti u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organizacionim telima sudova ili tribunala.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Njihovo prisustvo bi moglo da dovede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 ometanja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sudijske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funkcije, čime bi se ugrozila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 sudstva (stavovi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48 – 49).</w:t>
      </w:r>
    </w:p>
    <w:p w:rsidR="00303095" w:rsidRPr="00C5255F" w:rsidRDefault="00303095" w:rsidP="00DA307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15. U cilju očuvanja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pravilne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podele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vlasti, odbori za ispitivanja ili istrage (parlamentarni ili neki drugi), nikada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bi trebalo da se mešaju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istrage ili suđenja koja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sudska tela pokreću ili nameravaju da pokrenu.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Takve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nesudske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istrage </w:t>
      </w:r>
      <w:r w:rsidR="00DA30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nikada nisu zamena za sudski postupak (stav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46).  </w:t>
      </w:r>
    </w:p>
    <w:p w:rsidR="00303095" w:rsidRPr="00C5255F" w:rsidRDefault="00303095" w:rsidP="00593374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16. CCJE predlaže da </w:t>
      </w:r>
      <w:r w:rsidR="005933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zakonodavstvo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</w:t>
      </w:r>
      <w:r w:rsidR="005933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ržava članica pojasni odnose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između </w:t>
      </w:r>
      <w:r w:rsidR="005933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ovlašćenja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„</w:t>
      </w:r>
      <w:r w:rsidR="005933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ombudsmana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 (ili sličnih agencija) i </w:t>
      </w:r>
      <w:r w:rsidR="0059337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ovlašćenja sudova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47).</w:t>
      </w:r>
    </w:p>
    <w:p w:rsidR="00303095" w:rsidRPr="00C5255F" w:rsidRDefault="00223ABB" w:rsidP="00223AB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17. H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ronični nedostatak finan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iranja sudstva društvo u celini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trebalo da smatra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neprihvatljivim ometanjem ustavne uloge sudstva jer se njime narušavaju temelji demokratskog društva kojim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upravlja vladavina prava (stav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51).</w:t>
      </w:r>
    </w:p>
    <w:p w:rsidR="00303095" w:rsidRPr="00C5255F" w:rsidRDefault="00303095" w:rsidP="009762FE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18.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Analize i kritike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jedne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drugima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bi trebalo da budu upućene u klimi međusobnog poštovanja. Neuravnoteženi kritički komentari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koje upućuju političari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 neodgovorni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mogu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uzrokovati ozbiljne probl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eme. Njima se može ugroziti pov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erenje javnosti u sudstvo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mogu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u ekstremnim slučajevima, dovesti do napada na ustavnu rav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notežu demokratske države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52). Pojedinačni sudovi i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u celini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moraju 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da razgovaraju 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 načinima na koje se treba nositi s</w:t>
      </w:r>
      <w:r w:rsidR="009762F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takvim kritikama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53).</w:t>
      </w:r>
    </w:p>
    <w:p w:rsidR="00303095" w:rsidRPr="00C5255F" w:rsidRDefault="00303095" w:rsidP="00C92AD1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19. Izvršna i zakonodavna vlast imaju obvezu </w:t>
      </w:r>
      <w:r w:rsidR="00C92AD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pružaju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svu potrebnu i odgovarajuću zaštitu kad su funkcije sudova ugrožene fizičkim napadima ili zastrašivanjima usm</w:t>
      </w:r>
      <w:r w:rsidR="00C92AD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erenim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na </w:t>
      </w:r>
      <w:r w:rsidR="00C92AD1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pripadnike sudstva (stav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52).</w:t>
      </w:r>
    </w:p>
    <w:p w:rsidR="00303095" w:rsidRPr="00C5255F" w:rsidRDefault="0037486B" w:rsidP="0037486B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20. Političari nikada ne sme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ju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podsticati na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nepoštovanje sudskih odluka, a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posebno ne sme podsticati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kako je to bio slučaj u određenim državama,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nasilje nad </w:t>
      </w:r>
      <w: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sudijama (stav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52).</w:t>
      </w:r>
    </w:p>
    <w:p w:rsidR="00CA3F96" w:rsidRDefault="00CA3F96" w:rsidP="00303095">
      <w:pPr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</w:pPr>
      <w:bookmarkStart w:id="106" w:name="P25_529"/>
    </w:p>
    <w:p w:rsidR="00303095" w:rsidRPr="00322964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hyperlink r:id="rId32" w:anchor="P25_530" w:tgtFrame="_self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vertAlign w:val="superscript"/>
            <w:lang w:val="sr-Latn-CS"/>
          </w:rPr>
          <w:t>1</w:t>
        </w:r>
      </w:hyperlink>
      <w:bookmarkEnd w:id="10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Videti Gardbaum „Separation of Powers and the Growths of Judicial Review in Established Democracies (or Why Has the Model of Legislative Supremacy Mostly Been Withdrawn From Sale?)”, 62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Američki žurnal uporednog prava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(2014) 613.</w:t>
      </w:r>
    </w:p>
    <w:bookmarkStart w:id="107" w:name="P26_1360"/>
    <w:p w:rsidR="00303095" w:rsidRPr="00322964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"P26_1361"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322964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</w:t>
      </w:r>
      <w:r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7"/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Naučnici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 utvrdili „globalno širenje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 vlasti”: vid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Tate i Vallinder (EDS), </w:t>
      </w:r>
      <w:r w:rsidR="00303095" w:rsidRPr="0032296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Global Expansion of Judicial Power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New York University Press, 1997.</w:t>
      </w:r>
    </w:p>
    <w:bookmarkStart w:id="108" w:name="P29_2660"/>
    <w:p w:rsidR="00303095" w:rsidRPr="00322964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"P29_2661"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322964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</w:t>
      </w:r>
      <w:r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8"/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redom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izveštaje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generalnog sekretara: „Stanje demokrat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ije, ljudskih prava i vladavine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prava u Europi” za 2014. i 2015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u daljem tekstu redom: „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(2014)” i „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(2015)”.</w:t>
      </w:r>
    </w:p>
    <w:bookmarkStart w:id="109" w:name="P30_3105"/>
    <w:p w:rsidR="00303095" w:rsidRPr="00322964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"P30_3106"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322964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</w:t>
      </w:r>
      <w:r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09"/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CCJE-a o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situaciji u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sudstvu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među sudijama 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državama članicama </w:t>
      </w:r>
      <w:r w:rsidR="00322964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Saveta Evrope (2013), stavovi</w:t>
      </w:r>
      <w:r w:rsidR="00303095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13 – 18.</w:t>
      </w:r>
    </w:p>
    <w:bookmarkStart w:id="110" w:name="P31_332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"P31_3330"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AC270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AC270C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 (2015)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14, 17, 27.</w:t>
      </w:r>
    </w:p>
    <w:bookmarkStart w:id="111" w:name="P32_362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"P32_3623"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AC270C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AC270C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 (2015)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20 – 21.</w:t>
      </w:r>
    </w:p>
    <w:bookmarkStart w:id="112" w:name="P33_388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lastRenderedPageBreak/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"P33_3888"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1452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pogledu pravne pomoći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41452A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 (2015)</w:t>
      </w:r>
      <w:r w:rsidR="0041452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str. 22 – 23.</w:t>
      </w:r>
    </w:p>
    <w:bookmarkStart w:id="113" w:name="P34_411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"P34_4113"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1452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41452A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 (2015)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19.</w:t>
      </w:r>
    </w:p>
    <w:bookmarkStart w:id="114" w:name="P35_456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"P35_4561"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1452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41452A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41452A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(2014</w:t>
      </w:r>
      <w:r w:rsidR="0041452A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str. 22, </w:t>
      </w:r>
      <w:r w:rsidR="0041452A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 (2015)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27.</w:t>
      </w:r>
    </w:p>
    <w:bookmarkStart w:id="115" w:name="P52_867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"P52_8679"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Osim članova Radne 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grupe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CCJE-a, na seminaru su 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učestvovali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profesor Robert Hazell (Odsek za proučavanje Ustava, University College, London, 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Ujedinjeno Kraljevstvo),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Andrew Drzemczewski (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predsednik Odeljenja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pravne poslove i ljudska prava u </w:t>
      </w:r>
      <w:r w:rsidR="000C02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Sekretarijatu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Parlamentarne skupštine </w:t>
      </w:r>
      <w:r w:rsidR="000C02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Saveta Evrope),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Anna M</w:t>
      </w:r>
      <w:r w:rsidR="000C02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aria Telvis 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Ann Speck (</w:t>
      </w:r>
      <w:r w:rsidR="000C02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Udruženje za ljudska prava) 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Ziya Tanyar (</w:t>
      </w:r>
      <w:r w:rsidR="000C025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Sekretarijat Venecijanske komisije Saveta Evrope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16" w:name="P53_926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"P53_9263"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Zaključci koje su izn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eli prof Jørn Øyrehagen Sunde (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Univerzitet u Bergenu), Hanne Sophie Greve (preds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edni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Apelacionog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suda Gulating,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nekadašnja sudija Evropskog suda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 ljudska prava) i Ingjerd Thune (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predsednik Norveškog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udruženja 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17" w:name="P58_970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"P58_9704"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3 CCJE-a (2002),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16.</w:t>
      </w:r>
    </w:p>
    <w:bookmarkStart w:id="118" w:name="P59_988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"P59_9883"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enje br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1 CCJE-a (2001), stav 11;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takođe dokument M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agna Carta sud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</w:t>
      </w:r>
      <w:r w:rsidR="004A3C2E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(2010),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1.</w:t>
      </w:r>
    </w:p>
    <w:bookmarkStart w:id="119" w:name="P62_1110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"P62_11102"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1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CCJE prepoznaje da ovaj posl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ednji zadatak ponekad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izvršava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ustavni sud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nekim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sistemima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usta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vni sudovi ne smatraju nužno 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elom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bookmarkStart w:id="120" w:name="P63_1140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"P63_11401"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4A0DFF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(2014</w:t>
      </w:r>
      <w:r w:rsidR="004A0DFF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22.</w:t>
      </w:r>
    </w:p>
    <w:bookmarkStart w:id="121" w:name="P64_1200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"P64_12007"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takođe za funkcije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: Garapon, Perdriolle, Bernabé,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La prudence et l’authorité: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L’office du juge au XXIe siècle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synthèse du rapport de l’IHEJ (2013).</w:t>
      </w:r>
    </w:p>
    <w:bookmarkStart w:id="122" w:name="P65_1265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"P65_12657"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broj 1 CCJE-a (2001),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11.</w:t>
      </w:r>
    </w:p>
    <w:bookmarkStart w:id="123" w:name="P70_1350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"P70_13504"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Alexander Hamilton, u eseju Federalist 78, opisao je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kao najmanje opasnu od tri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grane vlasti jer „nema uti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aj ni na mač ni na blagajnu...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Može se s razlogom reći da nema ni SNAGU ni VOLJU, nego samo sud; i u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krajnjoj liniji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zavisi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pomoći izvršne vlasti čak i za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efikasnost svojih presuda”. Hamiltonov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stav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 mora odražavati stvarnu situaciju u pogledu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ovlašćenja koje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sudstvo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ima nad radnjama izvršne ili čak zakonodavne vlasti u E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ropi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21.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veku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bookmarkStart w:id="124" w:name="P71_1457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"P71_14578"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13 CCJE-a (2010) o ulozi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izvršenju sudskih odluka.</w:t>
      </w:r>
    </w:p>
    <w:bookmarkStart w:id="125" w:name="P72_1483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"P72_14833"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Aharon Barak, „The Judge in a Democracy” (Princeton Press 2008), poglavlje 2.</w:t>
      </w:r>
    </w:p>
    <w:bookmarkStart w:id="126" w:name="P77_1608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"P77_16085"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11, 12.</w:t>
      </w:r>
    </w:p>
    <w:bookmarkStart w:id="127" w:name="P78_1654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"P78_16541"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9.</w:t>
      </w:r>
    </w:p>
    <w:bookmarkStart w:id="128" w:name="P79_1669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"P79_16691"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er: sv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englesk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velšk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su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4A0DF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 pri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imenovanju moraju zakleti da će donositi presude „prema zakonima i običajima ovog Kraljevstva, bez straha ili </w:t>
      </w:r>
      <w:r w:rsidR="00693B8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naklonosti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naklonosti ili zle namere”.</w:t>
      </w:r>
    </w:p>
    <w:bookmarkStart w:id="129" w:name="P80_1705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"P80_17056"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2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primer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presude ESLjP-a u sl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edećim predmetima: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Oršuš protiv Hrvatske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16.3.2010 – 15766/03 - stav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147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Sejdić i Finci protiv Bosne i Hercegovine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22.12.2009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27996/06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 34836/06 -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43;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Muñoz Díaz protiv Špan</w:t>
      </w:r>
      <w:r w:rsidR="00B5050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ije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8.12.2009 – 49151/07 – stav 61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D.H. i ostali protiv Ukrajine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23.11.2007 – 57325/00 – stav 176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Gorzelik protiv Poljske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17.2.2014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44158/98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stavovi 89 – 90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Metropolitanska crkva Besarabije protiv Republike Mold</w:t>
      </w:r>
      <w:r w:rsidR="00B50503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avije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13.12.2001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45701/99 – stavak 116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Sidiropopulos protiv Grčke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10.7.1998 – 26695/95 –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41. Za zaštitu manjina od strane sudova videti: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Sandalow,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Judicial Protection of Min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orities, Mich. L. Rev. 75 (1977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 1162,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Cover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The Origins of Judicial Activism in the Protection of Minorities, Yale Law School Legal Repository (1982).</w:t>
      </w:r>
    </w:p>
    <w:bookmarkStart w:id="130" w:name="P81_1801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"P81_18019"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Volkov protiv Ukrajine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9.1.2013 – 21722/11 –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199.</w:t>
      </w:r>
    </w:p>
    <w:bookmarkStart w:id="131" w:name="P83_1817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"P83_18172"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takođe </w:t>
      </w:r>
      <w:r w:rsidR="00B50503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(2014</w:t>
      </w:r>
      <w:r w:rsidR="00B50503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str. 22.</w:t>
      </w:r>
    </w:p>
    <w:bookmarkStart w:id="132" w:name="P84_1859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lastRenderedPageBreak/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"P84_18595"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Engleski p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esnik John Donne u 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elu „Meditation XVII”.</w:t>
      </w:r>
    </w:p>
    <w:bookmarkStart w:id="133" w:name="P85_1918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"P85_19185"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B50503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(2015</w:t>
      </w:r>
      <w:r w:rsidR="00B50503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14, 17, 27.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takođe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13 CCJE-a (2010) o ulozi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izvršenju sudskih odluka.</w:t>
      </w:r>
    </w:p>
    <w:bookmarkStart w:id="134" w:name="P86_1988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"P86_19890"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29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ti Mišljenje br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11.</w:t>
      </w:r>
    </w:p>
    <w:bookmarkStart w:id="135" w:name="P99_2163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"P99_21637"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 CCJE-a (2001), stav 11.; videti takođe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dokument Magna Carta su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(2010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1.</w:t>
      </w:r>
    </w:p>
    <w:bookmarkStart w:id="136" w:name="P106_2341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"P106_23412"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19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23.; videti takođe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Venecija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nske komisije „Imenovanja 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”, 2007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stavovi 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17.</w:t>
      </w:r>
    </w:p>
    <w:bookmarkStart w:id="137" w:name="P107_2381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"P107_23812"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 CCJE-a (2001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33.</w:t>
      </w:r>
    </w:p>
    <w:bookmarkStart w:id="138" w:name="P108_2399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"P108_23995"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na primer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: Fabian Wittreck,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Die Verwaltung der Dritten Gewalt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Mohr–Siebeck, Tübingen, 2006. On tvrdi da zakonitost svih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zvaničnika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državi proizlazi u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krajnjoj liniji iz „volje naroda” (član 20 stav (2) n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emačkog Ustava). Sličan argument može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se iznese i za druge ustave.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na primer član 3 Deklaracije o pravima čov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eka i građanina iz 1789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integris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ane u francuski Ustav: „Načela svakog suvereniteta nalaze se jedino u narodu” („Le principe de toute Souveraineté réside essentiellement dans la Nation”).</w:t>
      </w:r>
    </w:p>
    <w:bookmarkStart w:id="139" w:name="P109_2464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"P109_24643"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3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33.</w:t>
      </w:r>
    </w:p>
    <w:bookmarkStart w:id="140" w:name="P110_2498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"P110_24986"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 CCJE-a (2001),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37.</w:t>
      </w:r>
    </w:p>
    <w:bookmarkStart w:id="141" w:name="P111_2524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"P111_25248"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(2001), st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av 45, zaključak 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 Mišljenje br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10 CCJE-a (2007),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48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51. Prema Ev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ropskom sudu za ljudska prava, imenovanja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koja </w:t>
      </w:r>
      <w:r w:rsidR="00B5050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vrše zakonodavne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izvršne vlasti dopuštena su dok god imenovan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 sudije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nisu izložen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ut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cajima ili pritiscima prilikom obavljanja svo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 uloge donošenja presuda.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eti: </w:t>
      </w:r>
      <w:r w:rsidR="0011502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 xml:space="preserve">Flux protiv Republike Moldavije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3.7.2007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31001/03–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27. O pojmu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podele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i njegovoj važnosti za imenovanja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 takođe je raspravljao ESLjP: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Volkov protiv Ukrajine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9.1.2013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21722/11 - stav 109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i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Maktouf i Damjanović protiv Bosne i Hercegovine</w:t>
      </w:r>
      <w:r w:rsidR="0011502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 xml:space="preserve">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od 18.7.2013 – 34179/08 –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49. Venecijanska komisija smatra imenovanje redovnih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putem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glasanja u parlamentu neprim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erenim (Venecijan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ska komisija, „Imenovanje 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”,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2007,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12)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te preporučuje imenovanje od strane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pravosudnog 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eća sastavljenog od značajnog broja ili većine članova koje su odabral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sam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sudije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: Venecijanska komisija, „Imenovanj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sudija”, 2007,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29.</w:t>
      </w:r>
    </w:p>
    <w:bookmarkStart w:id="142" w:name="P116_2709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"P116_27099"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22.</w:t>
      </w:r>
    </w:p>
    <w:bookmarkStart w:id="143" w:name="P118_2785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"P118_27855"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 CCJE-a (2003).</w:t>
      </w:r>
    </w:p>
    <w:bookmarkStart w:id="144" w:name="P119_2793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"P119_27935"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39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6 CCJE-a (2004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45" w:name="P120_2803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"P120_28033"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9 CCJE-a (2006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46" w:name="P121_2811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"P121_28115"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11502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10 CCJE-a (2007).</w:t>
      </w:r>
    </w:p>
    <w:bookmarkStart w:id="147" w:name="P122_2818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"P122_28185"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11 CCJE-a (2008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48" w:name="P123_2826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"P123_28268"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13 CCJE-a (2010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49" w:name="P124_2834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"P124_28342"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4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14 CCJE-a (2011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50" w:name="P125_2841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"P125_28411"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15 CCJE-a (2012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51" w:name="P126_2847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"P126_28476"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17 CCJE-a (2014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52" w:name="P127_2867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"P127_28673"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12 CCJE-a (2009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53" w:name="P128_2873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"P128_28732"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11502B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16 CCJE-a (2013).</w:t>
      </w:r>
    </w:p>
    <w:bookmarkStart w:id="154" w:name="P131_2921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lastRenderedPageBreak/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"P131_29215"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49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1502B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Jedan prim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er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neophodnog proceduralnog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propisa jest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potreba da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sebe izuzme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onde gd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može postojati stvarni ili pretpostavljeni sukob interesa.</w:t>
      </w:r>
    </w:p>
    <w:bookmarkStart w:id="155" w:name="P132_2957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"P132_29579"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3 CCJE-a (2002),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8.</w:t>
      </w:r>
    </w:p>
    <w:bookmarkStart w:id="156" w:name="P133_2973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"P133_29739"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takođe </w:t>
      </w:r>
      <w:r w:rsidR="0015187F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(2015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str. 9.</w:t>
      </w:r>
    </w:p>
    <w:bookmarkStart w:id="157" w:name="P136_3006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"P136_30068"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svojem Izv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eštaju za 2013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2014. ENCJ je objasnio da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sudstvo koje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traži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, ali odbija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bude odgovorno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društvu, neće uživati poverenje društva. V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ENCJ-a za 2013 – 2014, str. 4.</w:t>
      </w:r>
    </w:p>
    <w:bookmarkStart w:id="158" w:name="P143_3074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"P143_30741"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raspravu o odgovornosti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sudstva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eti: Graham Gee, Robert Hazell, Kate Malleson i Patrick o’Brien, „The Politics of Judicial Independence in the U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K’s Changing Constitution”, Cam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bridge University Press, 2015, str. 16 – 22.</w:t>
      </w:r>
    </w:p>
    <w:bookmarkStart w:id="159" w:name="P144_3125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"P144_31257"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5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 važnosti dobrog upravljanja i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sudstva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možete pronaći u Mišljenju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oj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7 CCJE-a (2005), Mišljenju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10 CCJE-a (2007) i Mišljenju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14 CCJE-a (2011).</w:t>
      </w:r>
    </w:p>
    <w:bookmarkStart w:id="160" w:name="P147_3259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"P147_32600"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11,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10 (2007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9.</w:t>
      </w:r>
    </w:p>
    <w:bookmarkStart w:id="161" w:name="P148_3284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"P148_32847"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Videti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ENCJ-a za 2013 – 2014, str. 13.</w:t>
      </w:r>
    </w:p>
    <w:bookmarkStart w:id="162" w:name="P149_3303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"P149_33031"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6 CCJE-a (2004), stavak 1.</w:t>
      </w:r>
    </w:p>
    <w:bookmarkStart w:id="163" w:name="P150_3345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"P150_33451"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17 CCJE-a (2014), stavak 23.</w:t>
      </w:r>
    </w:p>
    <w:bookmarkStart w:id="164" w:name="P153_3432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"P153_34327"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59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Preporuku </w:t>
      </w:r>
      <w:hyperlink r:id="rId33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32.,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 CCJE-a (2001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4;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10 (2007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37;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17 (2014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35.</w:t>
      </w:r>
    </w:p>
    <w:bookmarkStart w:id="165" w:name="P154_3478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"P154_34790"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 CCJE-a (2001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14. 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10 (2007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12.</w:t>
      </w:r>
    </w:p>
    <w:bookmarkStart w:id="166" w:name="P155_3535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"P155_35351"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Ostale državne vlasti imaju dužnost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da obezbede finans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ijska sredstva koja su u skladu s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potrebama pravosudnog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sistema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: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2 CCJE-a (2001).</w:t>
      </w:r>
    </w:p>
    <w:bookmarkStart w:id="167" w:name="P162_3585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"P162_35857"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CCJE-a (2005</w:t>
      </w:r>
      <w:r w:rsidR="001518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7.</w:t>
      </w:r>
    </w:p>
    <w:bookmarkStart w:id="168" w:name="P163_3616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"P163_36169"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svom članku „Reconciling independence and accountability un judicial systems”, 3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Utrecht Law Review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(2007), str. 26, 31 – 32, Contini i Mohr nazvali su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ovo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„pravna i pravosudna odgovornost”.</w:t>
      </w:r>
    </w:p>
    <w:bookmarkStart w:id="169" w:name="P166_3697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"P166_36975"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6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svom članku „Reconciling independence and accountability un judicial systems”, 3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Utrecht Law Review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(2007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), str. 26, 33 – 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34, Contini i Mohr nazvali su ovo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„upravljačka odgovornost”.</w:t>
      </w:r>
    </w:p>
    <w:bookmarkStart w:id="170" w:name="P183_3926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"P183_39268"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odnose između sudova i 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učesnicima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sudskim postupcima pogledajte Mišljenje br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CCJE-a (2005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24 – 26. 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Izuzeci su mogući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slučajevima kada to zahtevaju interesi strana u sporu u pogledu njihove privatnosti.</w:t>
      </w:r>
    </w:p>
    <w:bookmarkStart w:id="171" w:name="P184_3976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"P184_39769"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 ovo os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etljivo pitanje prisutnosti kamera u sudskim postupcima vid</w:t>
      </w:r>
      <w:r w:rsidR="006D7437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eti: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CCJE-a (2005), stavci 44 – 50.</w:t>
      </w:r>
    </w:p>
    <w:bookmarkStart w:id="172" w:name="P185_4039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"P185_40399"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CCJE-a (2005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 9, 24 – 26; videti takođe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Bühlmann i Kunz, „Confidence in the Judiciary: Comparing the Independence and Legitimacy of Judicial Systems”,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West European Politics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tom 34,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 (2011) 317, 332.</w:t>
      </w:r>
    </w:p>
    <w:bookmarkStart w:id="173" w:name="P188_4100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"P188_41005"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Za kvalitetu sudskih odluka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11 CCJE-a (2008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);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(2005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56.</w:t>
      </w:r>
    </w:p>
    <w:bookmarkStart w:id="174" w:name="P189_4144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"P189_41448"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69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6 CCJE-a (2004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75" w:name="P190_4176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"P190_41764"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13 CCJE-a (2010). i </w:t>
      </w:r>
      <w:r w:rsidR="002C3D1F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(2015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str. 14, 17, 27.</w:t>
      </w:r>
    </w:p>
    <w:bookmarkStart w:id="176" w:name="P195_4252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"P195_42526"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 27, 69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zaključak 10.</w:t>
      </w:r>
    </w:p>
    <w:bookmarkStart w:id="177" w:name="P198_4373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"P198_43736"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17 CCJE-a (2014).</w:t>
      </w:r>
    </w:p>
    <w:bookmarkStart w:id="178" w:name="P203_4436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lastRenderedPageBreak/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"P203_44369"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Pogledajte ESLj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Baka protiv Mađarske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27.5.2015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20261/12 – stavovi 99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102.</w:t>
      </w:r>
    </w:p>
    <w:bookmarkStart w:id="179" w:name="P204_4451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"P204_44519"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7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 svom članku „Reconciling independence and accountability un judicial systems”, 3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Utrecht Law Review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(2007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str. 26, 41 – 42, Contini i Mohr nazvali su to „upravljačka odgovornost”.</w:t>
      </w:r>
    </w:p>
    <w:bookmarkStart w:id="180" w:name="P205_4499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"P205_44995"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3 CCJE-a (2002), stav 34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B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elgija i Crna Gora izv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estile su o razmenama ove vrste.</w:t>
      </w:r>
    </w:p>
    <w:bookmarkStart w:id="181" w:name="P206_4557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"P206_45576"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Za odnose između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parlamenta u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Ujedinjenom Kraljevstvu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videti: Graham Gee, Robert Hazell, Kate Malleson i Patrick O'Brien: „The Politics of Judicial Independence in the UK’s Changing Constitution”, C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ambridge University Press, 2015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str. 92 – 125.</w:t>
      </w:r>
    </w:p>
    <w:bookmarkStart w:id="182" w:name="P207_4604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"P207_46049"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E-a (20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03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36.</w:t>
      </w:r>
    </w:p>
    <w:bookmarkStart w:id="183" w:name="P208_4619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"P208_46196"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Odluku U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stavnog suda Litvanije od 21.12.1999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IV.9.</w:t>
      </w:r>
    </w:p>
    <w:bookmarkStart w:id="184" w:name="P213_4650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"P213_46501"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79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7 CCJE-a (2005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185" w:name="P214_4684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"P214_46841"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7 CCJE-a (2005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C.</w:t>
      </w:r>
    </w:p>
    <w:bookmarkStart w:id="186" w:name="P215_4715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"P215_47153"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CCJE-a (2005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7 – 23.</w:t>
      </w:r>
    </w:p>
    <w:bookmarkStart w:id="187" w:name="P216_4768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"P216_47684"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broj 7 CCJE-a (2005),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27.</w:t>
      </w:r>
    </w:p>
    <w:bookmarkStart w:id="188" w:name="P221_4813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"P221_48138"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49,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preporuka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iii.</w:t>
      </w:r>
    </w:p>
    <w:bookmarkStart w:id="189" w:name="P222_4837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"P222_48379"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8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3 CCJE-a (2002),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50,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preporuka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ii.</w:t>
      </w:r>
    </w:p>
    <w:bookmarkStart w:id="190" w:name="P223_4894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"P223_48945"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3 CCJE-a (2002),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51.</w:t>
      </w:r>
    </w:p>
    <w:bookmarkStart w:id="191" w:name="P224_49050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"P224_49051"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Videti </w:t>
      </w:r>
      <w:r w:rsidR="002C3D1F" w:rsidRPr="00322964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generalnog sekretara Saveta Evrope </w:t>
      </w:r>
      <w:r w:rsidR="002C3D1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(2015), str. 24 – 25</w:t>
      </w:r>
      <w:r w:rsidR="002C3D1F" w:rsidRP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 vid</w:t>
      </w:r>
      <w:r w:rsidR="00303095" w:rsidRP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takođe rad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GRECO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-a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okviru četvrtog kruga ocenjivanja </w:t>
      </w:r>
      <w:hyperlink r:id="rId34" w:tgtFrame="_top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www.coe.int/greco</w:t>
        </w:r>
      </w:hyperlink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.</w:t>
      </w:r>
    </w:p>
    <w:bookmarkStart w:id="192" w:name="P225_4944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"P225_49444"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(2002),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52 – 54.</w:t>
      </w:r>
    </w:p>
    <w:bookmarkStart w:id="193" w:name="P226_4952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"P226_49524"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), stavovi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55 – 57.</w:t>
      </w:r>
    </w:p>
    <w:bookmarkStart w:id="194" w:name="P227_49614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"P227_49615"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89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58 – 74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takođe Kijevske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preporuke,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25 – 26.</w:t>
      </w:r>
    </w:p>
    <w:bookmarkStart w:id="195" w:name="P234_50983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"P234_50984"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(2001); Preporuku </w:t>
      </w:r>
      <w:hyperlink r:id="rId35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Poglavlje II, V, VI; vid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takođe dokument Magna Carta sudij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a (2010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 – 13.</w:t>
      </w:r>
    </w:p>
    <w:bookmarkStart w:id="196" w:name="P235_5164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"P235_51650"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Videti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ENCJ-a za 2013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– 2014, str. 4, 9.</w:t>
      </w:r>
    </w:p>
    <w:bookmarkStart w:id="197" w:name="P238_5277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"P238_52776"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 CCJE-a (2001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63.</w:t>
      </w:r>
    </w:p>
    <w:bookmarkStart w:id="198" w:name="P239_5297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"P239_52977"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U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Izveštaju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ENC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J-a opisuje se percepcija 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njihovoj nezavisnosti kao aspektu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„subjektivne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nezavisnosti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”,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ENCJ-a za 2013 – 2014, str. 13, 3.3.2.</w:t>
      </w:r>
    </w:p>
    <w:bookmarkStart w:id="199" w:name="P240_53671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"P240_53672"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19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Preporuku </w:t>
      </w:r>
      <w:hyperlink r:id="rId36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18.</w:t>
      </w:r>
    </w:p>
    <w:bookmarkStart w:id="200" w:name="P241_5399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"P241_53996"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ESLj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Baka protiv Mađarske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27.5.2015 - 20261/12.</w:t>
      </w:r>
    </w:p>
    <w:bookmarkStart w:id="201" w:name="P244_5487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"P244_54880"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Preporuku </w:t>
      </w:r>
      <w:hyperlink r:id="rId37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Poglavlje VII;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51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 za primer takve zloupotrebe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Volkov protiv Ukrajine,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ESL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jP od 9.1.2013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– 21722/11 –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posebno stav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199.</w:t>
      </w:r>
    </w:p>
    <w:bookmarkStart w:id="202" w:name="P245_55385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"P245_55386"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97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2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3 CCJE-a (2002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 75, 76; videti takođe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Preporuku </w:t>
      </w:r>
      <w:hyperlink r:id="rId38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66 – 71. Odgov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ornost države je drugo pitanje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kojim se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ovo Mišljenje neće baviti. U sl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edećim odlukama Sud E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ropske unije odlučio je da je odgovornost na državi za štetu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pro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uzrokovanu sudskim odlukama. Sud E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ropske unije nije spomenuo odgovornost sud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ija koji su doneli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odluk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 koje su uzrokovale štetu u sl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edećim presudama: CJEU (30.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septembra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2003, C-224/01,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 Köbler protiv Austrije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; Veliko 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eće, 13.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juna 2006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C-173/03,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 xml:space="preserve">Traghetti del 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lastRenderedPageBreak/>
        <w:t>Mediterraneo s.p.a. in liquidazione protiv Repubblica Italiana;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24.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novembra 2011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C-379/10, </w:t>
      </w:r>
      <w:r w:rsidR="00C22A7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Komisija protiv It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alijanske Republike;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 9.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septembra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2015, C-160/14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,</w:t>
      </w:r>
      <w:r w:rsidR="00C22A7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 xml:space="preserve"> 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João Filipe Ferreira da Silva e Brito protiv Estado Português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203" w:name="P246_56398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"P246_56399"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98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3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Preporuku </w:t>
      </w:r>
      <w:hyperlink r:id="rId39" w:history="1">
        <w:r w:rsidR="00303095" w:rsidRPr="00C5255F">
          <w:rPr>
            <w:rStyle w:val="Hyperlink"/>
            <w:rFonts w:ascii="Verdana" w:eastAsia="Times New Roman" w:hAnsi="Verdana" w:cs="Times New Roman"/>
            <w:sz w:val="16"/>
            <w:szCs w:val="16"/>
            <w:lang w:val="sr-Latn-CS"/>
          </w:rPr>
          <w:t>CM/Rec(2010)12</w:t>
        </w:r>
      </w:hyperlink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, stav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66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i 67. 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dokument CCJE-a Magna Carta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sudija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(2010), stav 22.</w:t>
      </w:r>
    </w:p>
    <w:bookmarkStart w:id="204" w:name="P261_6076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"P261_60767"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99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4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ESL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P: </w:t>
      </w:r>
      <w:r w:rsidR="00303095" w:rsidRPr="00C5255F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sr-Latn-CS"/>
        </w:rPr>
        <w:t>Baka protiv Mađarske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 od 27.5.2015 - 20261/12.</w:t>
      </w:r>
    </w:p>
    <w:bookmarkStart w:id="205" w:name="P262_6109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"P262_61098"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100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5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Otvoreno pismo Vrhovnog suda Ukrajine, str. 2.</w:t>
      </w:r>
    </w:p>
    <w:bookmarkStart w:id="206" w:name="P267_62592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"P267_62593"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101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6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Preporuku(2010)12, čl. 8.</w:t>
      </w:r>
    </w:p>
    <w:bookmarkStart w:id="207" w:name="P272_6279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"P272_62800"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102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7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Videti </w:t>
      </w:r>
      <w:r w:rsidR="00C22A7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Izveštaj 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CCJE-a o stanju 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sudske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vlasti i 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sudija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u državama članicama 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Saveta Ev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rope (2013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), stavovi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13 – 18.</w:t>
      </w:r>
    </w:p>
    <w:bookmarkStart w:id="208" w:name="P277_6352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"P277_63530"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103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8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eti 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Izveštaj generalnog sekretara Saveta Evrope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(2015), str. 17.</w:t>
      </w:r>
    </w:p>
    <w:bookmarkStart w:id="209" w:name="P278_63797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"P278_63798"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104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09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eti Mišljenje br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11 CCJE-a (2008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bookmarkStart w:id="210" w:name="P291_67016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"P291_67017"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105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10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 xml:space="preserve"> 10 CCJE-a (2007).</w:t>
      </w:r>
    </w:p>
    <w:bookmarkStart w:id="211" w:name="P300_69689"/>
    <w:p w:rsidR="00303095" w:rsidRPr="00C5255F" w:rsidRDefault="00843F97" w:rsidP="00303095">
      <w:pPr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</w:pP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begin"/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instrText xml:space="preserve"> HYPERLINK "https://wcd.coe.int/ViewDoc.jsp?p=&amp;Ref=CCJE(2015)4&amp;Language=lanCroatian&amp;Ver=original&amp;BackColorInternet=DBDCF2&amp;BackColorIntranet=FDC864&amp;BackColorLogged=FDC864&amp;direct=true" \l "P300_69690" \t "_self" </w:instrText>
      </w:r>
      <w:r w:rsidRPr="00843F9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fldChar w:fldCharType="separate"/>
      </w:r>
      <w:r w:rsidR="00303095" w:rsidRPr="00C5255F">
        <w:rPr>
          <w:rStyle w:val="Hyperlink"/>
          <w:rFonts w:ascii="Verdana" w:eastAsia="Times New Roman" w:hAnsi="Verdana" w:cs="Times New Roman"/>
          <w:sz w:val="16"/>
          <w:szCs w:val="16"/>
          <w:vertAlign w:val="superscript"/>
          <w:lang w:val="sr-Latn-CS"/>
        </w:rPr>
        <w:t>106</w:t>
      </w:r>
      <w:r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fldChar w:fldCharType="end"/>
      </w:r>
      <w:bookmarkEnd w:id="211"/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sr-Latn-CS"/>
        </w:rPr>
        <w:t> 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Videti Mišljenje br</w:t>
      </w:r>
      <w:r w:rsidR="000721C3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oj 2 CCJE-a (2001</w:t>
      </w:r>
      <w:r w:rsidR="00303095" w:rsidRPr="00C5255F">
        <w:rPr>
          <w:rFonts w:ascii="Verdana" w:eastAsia="Times New Roman" w:hAnsi="Verdana" w:cs="Times New Roman"/>
          <w:color w:val="000000"/>
          <w:sz w:val="16"/>
          <w:szCs w:val="16"/>
          <w:lang w:val="sr-Latn-CS"/>
        </w:rPr>
        <w:t>).</w:t>
      </w:r>
    </w:p>
    <w:p w:rsidR="00EC7384" w:rsidRPr="00C5255F" w:rsidRDefault="00EC7384" w:rsidP="00303095">
      <w:pPr>
        <w:rPr>
          <w:lang w:val="sr-Latn-CS"/>
        </w:rPr>
      </w:pPr>
    </w:p>
    <w:sectPr w:rsidR="00EC7384" w:rsidRPr="00C5255F" w:rsidSect="00F94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C8F"/>
    <w:multiLevelType w:val="multilevel"/>
    <w:tmpl w:val="B5E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41728"/>
    <w:multiLevelType w:val="multilevel"/>
    <w:tmpl w:val="1C8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D659E9"/>
    <w:multiLevelType w:val="multilevel"/>
    <w:tmpl w:val="6688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56685C"/>
    <w:multiLevelType w:val="multilevel"/>
    <w:tmpl w:val="D89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303095"/>
    <w:rsid w:val="00017D1D"/>
    <w:rsid w:val="00021079"/>
    <w:rsid w:val="000516D9"/>
    <w:rsid w:val="00055683"/>
    <w:rsid w:val="000721C3"/>
    <w:rsid w:val="00080B91"/>
    <w:rsid w:val="00087316"/>
    <w:rsid w:val="0009529C"/>
    <w:rsid w:val="000A32C5"/>
    <w:rsid w:val="000A6296"/>
    <w:rsid w:val="000B0EDF"/>
    <w:rsid w:val="000B686A"/>
    <w:rsid w:val="000C0254"/>
    <w:rsid w:val="000C02F9"/>
    <w:rsid w:val="000C4CE2"/>
    <w:rsid w:val="000C7D62"/>
    <w:rsid w:val="000D314B"/>
    <w:rsid w:val="000E78BB"/>
    <w:rsid w:val="000E7912"/>
    <w:rsid w:val="0011142B"/>
    <w:rsid w:val="0011502B"/>
    <w:rsid w:val="00115B8A"/>
    <w:rsid w:val="001337BC"/>
    <w:rsid w:val="00136CAC"/>
    <w:rsid w:val="001432C3"/>
    <w:rsid w:val="001470EB"/>
    <w:rsid w:val="0015187F"/>
    <w:rsid w:val="0015421C"/>
    <w:rsid w:val="001725DB"/>
    <w:rsid w:val="001767B6"/>
    <w:rsid w:val="00182DBF"/>
    <w:rsid w:val="00185E8A"/>
    <w:rsid w:val="001A56B3"/>
    <w:rsid w:val="001A7E6B"/>
    <w:rsid w:val="001B050F"/>
    <w:rsid w:val="001C0E53"/>
    <w:rsid w:val="001E054C"/>
    <w:rsid w:val="001E1AE6"/>
    <w:rsid w:val="001E4BC7"/>
    <w:rsid w:val="001F44D8"/>
    <w:rsid w:val="002040A5"/>
    <w:rsid w:val="00212982"/>
    <w:rsid w:val="00223ABB"/>
    <w:rsid w:val="00227BFE"/>
    <w:rsid w:val="00234AB0"/>
    <w:rsid w:val="002356CB"/>
    <w:rsid w:val="00241BC5"/>
    <w:rsid w:val="00271AD3"/>
    <w:rsid w:val="00272AC5"/>
    <w:rsid w:val="00273AE5"/>
    <w:rsid w:val="002851DA"/>
    <w:rsid w:val="002867FB"/>
    <w:rsid w:val="002A0A48"/>
    <w:rsid w:val="002B459F"/>
    <w:rsid w:val="002C3D1F"/>
    <w:rsid w:val="002F5530"/>
    <w:rsid w:val="00303095"/>
    <w:rsid w:val="00310684"/>
    <w:rsid w:val="003117B3"/>
    <w:rsid w:val="00312B81"/>
    <w:rsid w:val="00313174"/>
    <w:rsid w:val="00322964"/>
    <w:rsid w:val="00322D58"/>
    <w:rsid w:val="003306D2"/>
    <w:rsid w:val="0033149B"/>
    <w:rsid w:val="00346D09"/>
    <w:rsid w:val="00350614"/>
    <w:rsid w:val="00350F6B"/>
    <w:rsid w:val="00353DF3"/>
    <w:rsid w:val="003669CC"/>
    <w:rsid w:val="00372169"/>
    <w:rsid w:val="003736CF"/>
    <w:rsid w:val="0037486B"/>
    <w:rsid w:val="00382D0E"/>
    <w:rsid w:val="003A1132"/>
    <w:rsid w:val="003A3FF6"/>
    <w:rsid w:val="003B3C03"/>
    <w:rsid w:val="003B53ED"/>
    <w:rsid w:val="003B54C6"/>
    <w:rsid w:val="003D161A"/>
    <w:rsid w:val="003D5BDE"/>
    <w:rsid w:val="003E1D5B"/>
    <w:rsid w:val="003E79D3"/>
    <w:rsid w:val="003F6850"/>
    <w:rsid w:val="00405555"/>
    <w:rsid w:val="00405696"/>
    <w:rsid w:val="004105EC"/>
    <w:rsid w:val="0041452A"/>
    <w:rsid w:val="00422560"/>
    <w:rsid w:val="0042279C"/>
    <w:rsid w:val="004376CD"/>
    <w:rsid w:val="0044054B"/>
    <w:rsid w:val="00440E2B"/>
    <w:rsid w:val="004460F4"/>
    <w:rsid w:val="004461D1"/>
    <w:rsid w:val="00454B69"/>
    <w:rsid w:val="004567F7"/>
    <w:rsid w:val="0045758D"/>
    <w:rsid w:val="00464C8C"/>
    <w:rsid w:val="00471BC3"/>
    <w:rsid w:val="00482AA3"/>
    <w:rsid w:val="00487864"/>
    <w:rsid w:val="004A0DFF"/>
    <w:rsid w:val="004A3C2E"/>
    <w:rsid w:val="004B50D9"/>
    <w:rsid w:val="004C0097"/>
    <w:rsid w:val="004C594F"/>
    <w:rsid w:val="004E1C05"/>
    <w:rsid w:val="004E4FCD"/>
    <w:rsid w:val="004F6499"/>
    <w:rsid w:val="00512DFE"/>
    <w:rsid w:val="00520ECB"/>
    <w:rsid w:val="005345D5"/>
    <w:rsid w:val="00541A40"/>
    <w:rsid w:val="00556BAB"/>
    <w:rsid w:val="005637D1"/>
    <w:rsid w:val="00591A3A"/>
    <w:rsid w:val="00593374"/>
    <w:rsid w:val="005A13DD"/>
    <w:rsid w:val="005C737B"/>
    <w:rsid w:val="005E294A"/>
    <w:rsid w:val="005E62EE"/>
    <w:rsid w:val="005F1A6D"/>
    <w:rsid w:val="00612D44"/>
    <w:rsid w:val="0062247B"/>
    <w:rsid w:val="00623021"/>
    <w:rsid w:val="006246F0"/>
    <w:rsid w:val="0062521C"/>
    <w:rsid w:val="00627324"/>
    <w:rsid w:val="006368D1"/>
    <w:rsid w:val="00637664"/>
    <w:rsid w:val="00675D26"/>
    <w:rsid w:val="006830D1"/>
    <w:rsid w:val="006836B6"/>
    <w:rsid w:val="006838FB"/>
    <w:rsid w:val="0069009C"/>
    <w:rsid w:val="00691E6B"/>
    <w:rsid w:val="00693B8B"/>
    <w:rsid w:val="006A0E27"/>
    <w:rsid w:val="006B0388"/>
    <w:rsid w:val="006B14BA"/>
    <w:rsid w:val="006C083A"/>
    <w:rsid w:val="006C3DB0"/>
    <w:rsid w:val="006D1287"/>
    <w:rsid w:val="006D7437"/>
    <w:rsid w:val="006E4DCD"/>
    <w:rsid w:val="006F1F3F"/>
    <w:rsid w:val="007018A6"/>
    <w:rsid w:val="00703A06"/>
    <w:rsid w:val="00705311"/>
    <w:rsid w:val="00707BD7"/>
    <w:rsid w:val="0071502D"/>
    <w:rsid w:val="00735ADB"/>
    <w:rsid w:val="00736992"/>
    <w:rsid w:val="00737605"/>
    <w:rsid w:val="00743267"/>
    <w:rsid w:val="00744D9B"/>
    <w:rsid w:val="0075551E"/>
    <w:rsid w:val="0075593D"/>
    <w:rsid w:val="00761544"/>
    <w:rsid w:val="007667D3"/>
    <w:rsid w:val="00783443"/>
    <w:rsid w:val="007841D9"/>
    <w:rsid w:val="00791AD0"/>
    <w:rsid w:val="00792DCF"/>
    <w:rsid w:val="007957EC"/>
    <w:rsid w:val="007A1D99"/>
    <w:rsid w:val="007A3CC3"/>
    <w:rsid w:val="007A4B9D"/>
    <w:rsid w:val="007C4B77"/>
    <w:rsid w:val="007D035D"/>
    <w:rsid w:val="007E4A65"/>
    <w:rsid w:val="007E699E"/>
    <w:rsid w:val="00806E0E"/>
    <w:rsid w:val="00810FC8"/>
    <w:rsid w:val="00815D43"/>
    <w:rsid w:val="00825B0E"/>
    <w:rsid w:val="00831EB3"/>
    <w:rsid w:val="00832B64"/>
    <w:rsid w:val="00843F97"/>
    <w:rsid w:val="0084541A"/>
    <w:rsid w:val="0085290A"/>
    <w:rsid w:val="00857589"/>
    <w:rsid w:val="0086315E"/>
    <w:rsid w:val="00877D06"/>
    <w:rsid w:val="00880720"/>
    <w:rsid w:val="00884CF1"/>
    <w:rsid w:val="00896FF2"/>
    <w:rsid w:val="008A3DC7"/>
    <w:rsid w:val="008A42C2"/>
    <w:rsid w:val="008A46BB"/>
    <w:rsid w:val="008B3BCB"/>
    <w:rsid w:val="008C318A"/>
    <w:rsid w:val="008D32C3"/>
    <w:rsid w:val="008D4F54"/>
    <w:rsid w:val="008D7017"/>
    <w:rsid w:val="008E05C7"/>
    <w:rsid w:val="008E3ED5"/>
    <w:rsid w:val="00901C5F"/>
    <w:rsid w:val="00902B83"/>
    <w:rsid w:val="00904DE1"/>
    <w:rsid w:val="009133DC"/>
    <w:rsid w:val="00920C8A"/>
    <w:rsid w:val="009210E9"/>
    <w:rsid w:val="00953756"/>
    <w:rsid w:val="0096725B"/>
    <w:rsid w:val="009762FE"/>
    <w:rsid w:val="009835D0"/>
    <w:rsid w:val="00985245"/>
    <w:rsid w:val="00985747"/>
    <w:rsid w:val="00987981"/>
    <w:rsid w:val="00992E8F"/>
    <w:rsid w:val="009935D8"/>
    <w:rsid w:val="00995750"/>
    <w:rsid w:val="009A733C"/>
    <w:rsid w:val="009C0EC6"/>
    <w:rsid w:val="009C6232"/>
    <w:rsid w:val="009D58FF"/>
    <w:rsid w:val="009F49F5"/>
    <w:rsid w:val="009F69F0"/>
    <w:rsid w:val="009F7354"/>
    <w:rsid w:val="00A0534B"/>
    <w:rsid w:val="00A16A21"/>
    <w:rsid w:val="00A256A8"/>
    <w:rsid w:val="00A32D71"/>
    <w:rsid w:val="00A35E65"/>
    <w:rsid w:val="00A51A93"/>
    <w:rsid w:val="00A67C0E"/>
    <w:rsid w:val="00A96919"/>
    <w:rsid w:val="00AA19E9"/>
    <w:rsid w:val="00AC270C"/>
    <w:rsid w:val="00AC3833"/>
    <w:rsid w:val="00AF1B35"/>
    <w:rsid w:val="00B02FDC"/>
    <w:rsid w:val="00B04323"/>
    <w:rsid w:val="00B1033A"/>
    <w:rsid w:val="00B13066"/>
    <w:rsid w:val="00B1473C"/>
    <w:rsid w:val="00B15077"/>
    <w:rsid w:val="00B22250"/>
    <w:rsid w:val="00B32F23"/>
    <w:rsid w:val="00B44D84"/>
    <w:rsid w:val="00B50503"/>
    <w:rsid w:val="00B75459"/>
    <w:rsid w:val="00B7582E"/>
    <w:rsid w:val="00B76755"/>
    <w:rsid w:val="00B77600"/>
    <w:rsid w:val="00B846AE"/>
    <w:rsid w:val="00B85968"/>
    <w:rsid w:val="00B87A8A"/>
    <w:rsid w:val="00B90004"/>
    <w:rsid w:val="00B91C96"/>
    <w:rsid w:val="00B9607B"/>
    <w:rsid w:val="00BA5DC1"/>
    <w:rsid w:val="00BC36FF"/>
    <w:rsid w:val="00BC49C3"/>
    <w:rsid w:val="00BD52F9"/>
    <w:rsid w:val="00BD7857"/>
    <w:rsid w:val="00BE1F75"/>
    <w:rsid w:val="00BE60B2"/>
    <w:rsid w:val="00BF33E6"/>
    <w:rsid w:val="00BF6442"/>
    <w:rsid w:val="00C011D2"/>
    <w:rsid w:val="00C22A7F"/>
    <w:rsid w:val="00C34C15"/>
    <w:rsid w:val="00C423AD"/>
    <w:rsid w:val="00C5255F"/>
    <w:rsid w:val="00C547CF"/>
    <w:rsid w:val="00C6320E"/>
    <w:rsid w:val="00C81420"/>
    <w:rsid w:val="00C92AD1"/>
    <w:rsid w:val="00CA09A8"/>
    <w:rsid w:val="00CA3F96"/>
    <w:rsid w:val="00CC001F"/>
    <w:rsid w:val="00CC01F5"/>
    <w:rsid w:val="00CC252C"/>
    <w:rsid w:val="00CD2252"/>
    <w:rsid w:val="00CE0190"/>
    <w:rsid w:val="00CE2BD8"/>
    <w:rsid w:val="00CE7D72"/>
    <w:rsid w:val="00CF2E35"/>
    <w:rsid w:val="00CF3F13"/>
    <w:rsid w:val="00D02985"/>
    <w:rsid w:val="00D21CCB"/>
    <w:rsid w:val="00D255B5"/>
    <w:rsid w:val="00D26E7B"/>
    <w:rsid w:val="00D31D3C"/>
    <w:rsid w:val="00D40F74"/>
    <w:rsid w:val="00D53260"/>
    <w:rsid w:val="00D66C56"/>
    <w:rsid w:val="00D727E8"/>
    <w:rsid w:val="00D83717"/>
    <w:rsid w:val="00D85452"/>
    <w:rsid w:val="00D936A2"/>
    <w:rsid w:val="00D96576"/>
    <w:rsid w:val="00DA307F"/>
    <w:rsid w:val="00DB03FE"/>
    <w:rsid w:val="00DB1977"/>
    <w:rsid w:val="00DB237B"/>
    <w:rsid w:val="00DC4BE3"/>
    <w:rsid w:val="00DD1FB4"/>
    <w:rsid w:val="00E01792"/>
    <w:rsid w:val="00E03C48"/>
    <w:rsid w:val="00E10717"/>
    <w:rsid w:val="00E26592"/>
    <w:rsid w:val="00E32BD1"/>
    <w:rsid w:val="00E34B79"/>
    <w:rsid w:val="00E410D0"/>
    <w:rsid w:val="00E4310B"/>
    <w:rsid w:val="00E43A35"/>
    <w:rsid w:val="00E54926"/>
    <w:rsid w:val="00E70383"/>
    <w:rsid w:val="00E86B9E"/>
    <w:rsid w:val="00E97760"/>
    <w:rsid w:val="00EA0052"/>
    <w:rsid w:val="00EB19CA"/>
    <w:rsid w:val="00EC7384"/>
    <w:rsid w:val="00EE1127"/>
    <w:rsid w:val="00EF62D3"/>
    <w:rsid w:val="00EF7C0B"/>
    <w:rsid w:val="00F21942"/>
    <w:rsid w:val="00F2423D"/>
    <w:rsid w:val="00F462B8"/>
    <w:rsid w:val="00F502B4"/>
    <w:rsid w:val="00F521A7"/>
    <w:rsid w:val="00F627D9"/>
    <w:rsid w:val="00F77C45"/>
    <w:rsid w:val="00F868BA"/>
    <w:rsid w:val="00F9493B"/>
    <w:rsid w:val="00F94CE9"/>
    <w:rsid w:val="00FA5999"/>
    <w:rsid w:val="00FB1748"/>
    <w:rsid w:val="00FB3B36"/>
    <w:rsid w:val="00FB45CE"/>
    <w:rsid w:val="00FC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0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09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03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13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8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6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9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4" Type="http://schemas.openxmlformats.org/officeDocument/2006/relationships/hyperlink" Target="http://www.coe.int/greco" TargetMode="External"/><Relationship Id="rId7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2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7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5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3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38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0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9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1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4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2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7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5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3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8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6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10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19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1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Relationship Id="rId14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2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27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0" Type="http://schemas.openxmlformats.org/officeDocument/2006/relationships/hyperlink" Target="https://wcd.coe.int/ViewDoc.jsp?p=&amp;Ref=CCJE(2015)4&amp;Language=lanCroatian&amp;Ver=original&amp;BackColorInternet=DBDCF2&amp;BackColorIntranet=FDC864&amp;BackColorLogged=FDC864&amp;direct=true" TargetMode="External"/><Relationship Id="rId35" Type="http://schemas.openxmlformats.org/officeDocument/2006/relationships/hyperlink" Target="https://wcd.coe.int/ViewDoc.jsp?Ref=CM/Rec(2010)12&amp;Language=lanCroatian&amp;Site=COE&amp;BackColorInternet=DBDCF2&amp;BackColorIntranet=FDC864&amp;BackColorLogged=FDC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18</Pages>
  <Words>18198</Words>
  <Characters>103732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Stasa</Company>
  <LinksUpToDate>false</LinksUpToDate>
  <CharactersWithSpaces>121687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Stasa</dc:creator>
  <cp:keywords/>
  <dc:description/>
  <cp:lastModifiedBy>Društvo sudija Srbije</cp:lastModifiedBy>
  <cp:revision>264</cp:revision>
  <dcterms:created xsi:type="dcterms:W3CDTF">2017-02-20T08:21:00Z</dcterms:created>
  <dcterms:modified xsi:type="dcterms:W3CDTF">2017-05-30T09:17:00Z</dcterms:modified>
</cp:coreProperties>
</file>